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8A" w:rsidRDefault="006D278A">
      <w:pPr>
        <w:rPr>
          <w:b/>
          <w:color w:val="002060"/>
        </w:rPr>
      </w:pPr>
      <w:r>
        <w:rPr>
          <w:b/>
          <w:color w:val="002060"/>
        </w:rPr>
        <w:t>REPUBLIKA HRVATSKA</w:t>
      </w:r>
    </w:p>
    <w:p w:rsidR="003C76CF" w:rsidRPr="00615F9B" w:rsidRDefault="00D974A4">
      <w:pPr>
        <w:rPr>
          <w:b/>
          <w:color w:val="002060"/>
        </w:rPr>
      </w:pPr>
      <w:r w:rsidRPr="00D974A4">
        <w:rPr>
          <w:b/>
          <w:color w:val="002060"/>
        </w:rPr>
        <w:t>PRVA GIMNAZIJA VARAŽDIN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="00D752D8">
        <w:rPr>
          <w:b/>
          <w:color w:val="002060"/>
        </w:rPr>
        <w:t>KLASA</w:t>
      </w:r>
      <w:r w:rsidRPr="00615F9B">
        <w:rPr>
          <w:b/>
          <w:color w:val="002060"/>
        </w:rPr>
        <w:t>:</w:t>
      </w:r>
      <w:r w:rsidR="006462DE" w:rsidRPr="00615F9B">
        <w:rPr>
          <w:b/>
          <w:color w:val="002060"/>
        </w:rPr>
        <w:t xml:space="preserve"> </w:t>
      </w:r>
      <w:r w:rsidR="00615F9B" w:rsidRPr="00615F9B">
        <w:rPr>
          <w:b/>
          <w:color w:val="002060"/>
        </w:rPr>
        <w:t>401-04/22-01/1</w:t>
      </w:r>
    </w:p>
    <w:p w:rsidR="00D974A4" w:rsidRPr="00D974A4" w:rsidRDefault="00D974A4">
      <w:pPr>
        <w:rPr>
          <w:b/>
          <w:color w:val="002060"/>
        </w:rPr>
      </w:pPr>
      <w:r w:rsidRPr="00615F9B">
        <w:rPr>
          <w:b/>
          <w:color w:val="002060"/>
        </w:rPr>
        <w:t>Petra Preradovića 14</w:t>
      </w:r>
      <w:r w:rsidRPr="00615F9B">
        <w:rPr>
          <w:b/>
          <w:color w:val="002060"/>
        </w:rPr>
        <w:tab/>
      </w:r>
      <w:r w:rsidRPr="00615F9B">
        <w:rPr>
          <w:b/>
          <w:color w:val="002060"/>
        </w:rPr>
        <w:tab/>
      </w:r>
      <w:r w:rsidRPr="00615F9B">
        <w:rPr>
          <w:b/>
          <w:color w:val="002060"/>
        </w:rPr>
        <w:tab/>
      </w:r>
      <w:r w:rsidRPr="00615F9B">
        <w:rPr>
          <w:b/>
          <w:color w:val="002060"/>
        </w:rPr>
        <w:tab/>
      </w:r>
      <w:r w:rsidRPr="00615F9B">
        <w:rPr>
          <w:b/>
          <w:color w:val="002060"/>
        </w:rPr>
        <w:tab/>
      </w:r>
      <w:r w:rsidRPr="00615F9B">
        <w:rPr>
          <w:b/>
          <w:color w:val="002060"/>
        </w:rPr>
        <w:tab/>
      </w:r>
      <w:r w:rsidRPr="00615F9B">
        <w:rPr>
          <w:b/>
          <w:color w:val="002060"/>
        </w:rPr>
        <w:tab/>
      </w:r>
      <w:r w:rsidR="00D752D8">
        <w:rPr>
          <w:b/>
          <w:color w:val="002060"/>
        </w:rPr>
        <w:t>URBROJ</w:t>
      </w:r>
      <w:r w:rsidRPr="00615F9B">
        <w:rPr>
          <w:b/>
          <w:color w:val="002060"/>
        </w:rPr>
        <w:t xml:space="preserve">: </w:t>
      </w:r>
      <w:r w:rsidR="00615F9B" w:rsidRPr="00615F9B">
        <w:rPr>
          <w:b/>
          <w:color w:val="002060"/>
        </w:rPr>
        <w:t>2186-151-01-22</w:t>
      </w:r>
      <w:r w:rsidR="006462DE" w:rsidRPr="00615F9B">
        <w:rPr>
          <w:b/>
          <w:color w:val="002060"/>
        </w:rPr>
        <w:t>-1</w:t>
      </w:r>
    </w:p>
    <w:p w:rsidR="00D974A4" w:rsidRPr="00D974A4" w:rsidRDefault="00D974A4">
      <w:pPr>
        <w:rPr>
          <w:b/>
          <w:color w:val="002060"/>
        </w:rPr>
      </w:pPr>
      <w:r w:rsidRPr="00D974A4">
        <w:rPr>
          <w:b/>
          <w:color w:val="002060"/>
        </w:rPr>
        <w:t>42 000 Varaždin</w:t>
      </w:r>
    </w:p>
    <w:p w:rsidR="00D974A4" w:rsidRPr="00D974A4" w:rsidRDefault="00D974A4">
      <w:pPr>
        <w:rPr>
          <w:b/>
          <w:color w:val="002060"/>
        </w:rPr>
      </w:pPr>
      <w:r w:rsidRPr="00D974A4">
        <w:rPr>
          <w:b/>
          <w:color w:val="002060"/>
        </w:rPr>
        <w:t>OIB: 41524139511</w:t>
      </w:r>
    </w:p>
    <w:p w:rsidR="00D974A4" w:rsidRDefault="00D974A4"/>
    <w:p w:rsidR="00D974A4" w:rsidRPr="006D278A" w:rsidRDefault="00D974A4">
      <w:pPr>
        <w:rPr>
          <w:i/>
        </w:rPr>
      </w:pPr>
      <w:r w:rsidRPr="006D278A">
        <w:rPr>
          <w:i/>
        </w:rPr>
        <w:t>Broj RKP-a: 19239</w:t>
      </w:r>
    </w:p>
    <w:p w:rsidR="00D974A4" w:rsidRPr="006D278A" w:rsidRDefault="00D974A4">
      <w:pPr>
        <w:rPr>
          <w:i/>
        </w:rPr>
      </w:pPr>
      <w:r w:rsidRPr="006D278A">
        <w:rPr>
          <w:i/>
        </w:rPr>
        <w:t>Razina: 31</w:t>
      </w:r>
    </w:p>
    <w:p w:rsidR="00D974A4" w:rsidRPr="006D278A" w:rsidRDefault="00D974A4">
      <w:pPr>
        <w:rPr>
          <w:i/>
        </w:rPr>
      </w:pPr>
      <w:r w:rsidRPr="006D278A">
        <w:rPr>
          <w:i/>
        </w:rPr>
        <w:t>Razdjel: 000</w:t>
      </w:r>
    </w:p>
    <w:p w:rsidR="00D974A4" w:rsidRPr="006D278A" w:rsidRDefault="00D974A4">
      <w:pPr>
        <w:rPr>
          <w:i/>
        </w:rPr>
      </w:pPr>
      <w:r w:rsidRPr="006D278A">
        <w:rPr>
          <w:i/>
        </w:rPr>
        <w:t>Šifra djelatnosti: 8531</w:t>
      </w:r>
    </w:p>
    <w:p w:rsidR="00D974A4" w:rsidRPr="006D278A" w:rsidRDefault="00D974A4">
      <w:pPr>
        <w:rPr>
          <w:i/>
        </w:rPr>
      </w:pPr>
      <w:r w:rsidRPr="006D278A">
        <w:rPr>
          <w:i/>
        </w:rPr>
        <w:t>Šifra grada: 472</w:t>
      </w:r>
    </w:p>
    <w:p w:rsidR="00D974A4" w:rsidRPr="006D278A" w:rsidRDefault="00D974A4" w:rsidP="00D974A4">
      <w:pPr>
        <w:spacing w:line="360" w:lineRule="auto"/>
        <w:rPr>
          <w:i/>
          <w:sz w:val="30"/>
          <w:szCs w:val="30"/>
        </w:rPr>
      </w:pPr>
    </w:p>
    <w:p w:rsidR="00D974A4" w:rsidRDefault="00D974A4" w:rsidP="00D974A4">
      <w:pPr>
        <w:spacing w:line="360" w:lineRule="auto"/>
        <w:jc w:val="center"/>
        <w:rPr>
          <w:rFonts w:cstheme="minorHAnsi"/>
          <w:b/>
          <w:i/>
          <w:color w:val="002060"/>
          <w:sz w:val="30"/>
          <w:szCs w:val="30"/>
        </w:rPr>
      </w:pPr>
      <w:r w:rsidRPr="006D278A">
        <w:rPr>
          <w:rFonts w:cstheme="minorHAnsi"/>
          <w:b/>
          <w:i/>
          <w:color w:val="002060"/>
          <w:sz w:val="30"/>
          <w:szCs w:val="30"/>
        </w:rPr>
        <w:t>BILJEŠKE UZ FINANCIJSKE IZVJEŠTAJE ZA RAZDOBLJE OD 0</w:t>
      </w:r>
      <w:r w:rsidR="00470BE8">
        <w:rPr>
          <w:rFonts w:cstheme="minorHAnsi"/>
          <w:b/>
          <w:i/>
          <w:color w:val="002060"/>
          <w:sz w:val="30"/>
          <w:szCs w:val="30"/>
        </w:rPr>
        <w:t>1. SIJEČNJA DO 31. PROSINCA 2021</w:t>
      </w:r>
      <w:r w:rsidRPr="006D278A">
        <w:rPr>
          <w:rFonts w:cstheme="minorHAnsi"/>
          <w:b/>
          <w:i/>
          <w:color w:val="002060"/>
          <w:sz w:val="30"/>
          <w:szCs w:val="30"/>
        </w:rPr>
        <w:t>. GODINE</w:t>
      </w:r>
    </w:p>
    <w:p w:rsidR="00C57FB7" w:rsidRPr="006D278A" w:rsidRDefault="00C57FB7" w:rsidP="00D974A4">
      <w:pPr>
        <w:spacing w:line="360" w:lineRule="auto"/>
        <w:jc w:val="center"/>
        <w:rPr>
          <w:rFonts w:cstheme="minorHAnsi"/>
          <w:b/>
          <w:i/>
          <w:color w:val="002060"/>
          <w:sz w:val="30"/>
          <w:szCs w:val="30"/>
        </w:rPr>
      </w:pPr>
    </w:p>
    <w:p w:rsidR="00D974A4" w:rsidRPr="00C57FB7" w:rsidRDefault="00D974A4" w:rsidP="00D974A4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413078" w:rsidRDefault="006422DC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dan 31.12.2021. godine </w:t>
      </w:r>
      <w:r w:rsidR="00413078" w:rsidRPr="00A25F9B">
        <w:rPr>
          <w:rFonts w:cstheme="minorHAnsi"/>
          <w:sz w:val="24"/>
          <w:szCs w:val="24"/>
        </w:rPr>
        <w:t>Prva gimn</w:t>
      </w:r>
      <w:r w:rsidR="00A936C7" w:rsidRPr="00A25F9B">
        <w:rPr>
          <w:rFonts w:cstheme="minorHAnsi"/>
          <w:sz w:val="24"/>
          <w:szCs w:val="24"/>
        </w:rPr>
        <w:t xml:space="preserve">azija Varaždin </w:t>
      </w:r>
      <w:r>
        <w:rPr>
          <w:rFonts w:cstheme="minorHAnsi"/>
          <w:sz w:val="24"/>
          <w:szCs w:val="24"/>
        </w:rPr>
        <w:t xml:space="preserve">imala je </w:t>
      </w:r>
      <w:r w:rsidR="00413078" w:rsidRPr="00A25F9B">
        <w:rPr>
          <w:rFonts w:cstheme="minorHAnsi"/>
          <w:sz w:val="24"/>
          <w:szCs w:val="24"/>
        </w:rPr>
        <w:t xml:space="preserve">zaposleno </w:t>
      </w:r>
      <w:r w:rsidR="00C57FB7" w:rsidRPr="00A25F9B">
        <w:rPr>
          <w:rFonts w:cstheme="minorHAnsi"/>
          <w:sz w:val="24"/>
          <w:szCs w:val="24"/>
        </w:rPr>
        <w:t>10</w:t>
      </w:r>
      <w:r w:rsidR="00A25F9B" w:rsidRPr="00A25F9B">
        <w:rPr>
          <w:rFonts w:cstheme="minorHAnsi"/>
          <w:sz w:val="24"/>
          <w:szCs w:val="24"/>
        </w:rPr>
        <w:t>3</w:t>
      </w:r>
      <w:r w:rsidR="00C57FB7" w:rsidRPr="00A25F9B">
        <w:rPr>
          <w:rFonts w:cstheme="minorHAnsi"/>
          <w:sz w:val="24"/>
          <w:szCs w:val="24"/>
        </w:rPr>
        <w:t xml:space="preserve"> djelatnika. </w:t>
      </w:r>
      <w:r w:rsidR="00A936C7" w:rsidRPr="00A25F9B">
        <w:rPr>
          <w:rFonts w:cstheme="minorHAnsi"/>
          <w:sz w:val="24"/>
          <w:szCs w:val="24"/>
        </w:rPr>
        <w:t>U školskoj godini 2021./2022</w:t>
      </w:r>
      <w:r w:rsidR="00C57FB7" w:rsidRPr="00A25F9B">
        <w:rPr>
          <w:rFonts w:cstheme="minorHAnsi"/>
          <w:sz w:val="24"/>
          <w:szCs w:val="24"/>
        </w:rPr>
        <w:t xml:space="preserve">. ustrojeno je 34 razrednih odjeljenja sa ukupno </w:t>
      </w:r>
      <w:r w:rsidR="00A25F9B" w:rsidRPr="00A25F9B">
        <w:rPr>
          <w:rFonts w:cstheme="minorHAnsi"/>
          <w:sz w:val="24"/>
          <w:szCs w:val="24"/>
        </w:rPr>
        <w:t>759</w:t>
      </w:r>
      <w:r w:rsidR="00C57FB7" w:rsidRPr="00A25F9B">
        <w:rPr>
          <w:rFonts w:cstheme="minorHAnsi"/>
          <w:sz w:val="24"/>
          <w:szCs w:val="24"/>
        </w:rPr>
        <w:t xml:space="preserve"> učenika. U školi se izvode tri </w:t>
      </w:r>
      <w:r w:rsidR="006F2DDD">
        <w:rPr>
          <w:rFonts w:cstheme="minorHAnsi"/>
          <w:sz w:val="24"/>
          <w:szCs w:val="24"/>
        </w:rPr>
        <w:t xml:space="preserve">nacionalna gimnazijska programa </w:t>
      </w:r>
      <w:r w:rsidR="00C57FB7" w:rsidRPr="00A25F9B">
        <w:rPr>
          <w:rFonts w:cstheme="minorHAnsi"/>
          <w:sz w:val="24"/>
          <w:szCs w:val="24"/>
        </w:rPr>
        <w:t xml:space="preserve">- opći, jezični i prirodoslovno-matematički te jedan međunarodni program (IBDP - International </w:t>
      </w:r>
      <w:proofErr w:type="spellStart"/>
      <w:r w:rsidR="00C57FB7" w:rsidRPr="00A25F9B">
        <w:rPr>
          <w:rFonts w:cstheme="minorHAnsi"/>
          <w:sz w:val="24"/>
          <w:szCs w:val="24"/>
        </w:rPr>
        <w:t>Baccalaureate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 Diploma </w:t>
      </w:r>
      <w:proofErr w:type="spellStart"/>
      <w:r w:rsidR="00C57FB7" w:rsidRPr="00A25F9B">
        <w:rPr>
          <w:rFonts w:cstheme="minorHAnsi"/>
          <w:sz w:val="24"/>
          <w:szCs w:val="24"/>
        </w:rPr>
        <w:t>Programme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). Također, u školi se provodi i opći program sa skupinom predmeta na engleskom jeziku. </w:t>
      </w:r>
      <w:r w:rsidR="00805ECE" w:rsidRPr="00A25F9B">
        <w:rPr>
          <w:rFonts w:cstheme="minorHAnsi"/>
          <w:sz w:val="24"/>
          <w:szCs w:val="24"/>
        </w:rPr>
        <w:t>U škol</w:t>
      </w:r>
      <w:r w:rsidR="00C57FB7" w:rsidRPr="00A25F9B">
        <w:rPr>
          <w:rFonts w:cstheme="minorHAnsi"/>
          <w:sz w:val="24"/>
          <w:szCs w:val="24"/>
        </w:rPr>
        <w:t>i djeluju Centri izvrsnosti iz informatike, šaha i biologije.</w:t>
      </w:r>
      <w:r>
        <w:rPr>
          <w:rFonts w:cstheme="minorHAnsi"/>
          <w:sz w:val="24"/>
          <w:szCs w:val="24"/>
        </w:rPr>
        <w:t xml:space="preserve"> Osnivač škole je Varaždinska županija.</w:t>
      </w:r>
    </w:p>
    <w:p w:rsidR="00C57FB7" w:rsidRPr="00C57FB7" w:rsidRDefault="00C57FB7" w:rsidP="007B007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01E59" w:rsidRPr="00401E59" w:rsidRDefault="00D974A4" w:rsidP="007B007B">
      <w:pPr>
        <w:spacing w:line="36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401E59">
        <w:rPr>
          <w:rFonts w:cstheme="minorHAnsi"/>
          <w:b/>
          <w:color w:val="002060"/>
          <w:sz w:val="32"/>
          <w:szCs w:val="32"/>
        </w:rPr>
        <w:t>BILJEŠKE UZ PR-RAS</w:t>
      </w:r>
    </w:p>
    <w:p w:rsidR="00D974A4" w:rsidRDefault="000110F7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- </w:t>
      </w:r>
      <w:r w:rsidR="00D974A4" w:rsidRPr="00D974A4">
        <w:rPr>
          <w:rFonts w:cstheme="minorHAnsi"/>
          <w:b/>
          <w:sz w:val="24"/>
          <w:szCs w:val="24"/>
        </w:rPr>
        <w:t>AOP 001</w:t>
      </w:r>
    </w:p>
    <w:p w:rsidR="00D974A4" w:rsidRDefault="00D974A4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Sveukupni prihodi poslovanja u odnosu na isto izvještajno razdoblje prethodne godine </w:t>
      </w:r>
      <w:r w:rsidR="000110F7">
        <w:rPr>
          <w:rFonts w:cstheme="minorHAnsi"/>
          <w:sz w:val="24"/>
          <w:szCs w:val="24"/>
        </w:rPr>
        <w:t>manj</w:t>
      </w:r>
      <w:r w:rsidR="00BF744A">
        <w:rPr>
          <w:rFonts w:cstheme="minorHAnsi"/>
          <w:sz w:val="24"/>
          <w:szCs w:val="24"/>
        </w:rPr>
        <w:t>i</w:t>
      </w:r>
      <w:r w:rsidR="000110F7">
        <w:rPr>
          <w:rFonts w:cstheme="minorHAnsi"/>
          <w:sz w:val="24"/>
          <w:szCs w:val="24"/>
        </w:rPr>
        <w:t xml:space="preserve"> su za 2,5</w:t>
      </w:r>
      <w:r>
        <w:rPr>
          <w:rFonts w:cstheme="minorHAnsi"/>
          <w:sz w:val="24"/>
          <w:szCs w:val="24"/>
        </w:rPr>
        <w:t xml:space="preserve"> %. U strukturi prihoda poslovanja najvećim dijelom participiraju prihodi iskazani na AOP-u 063 – Pomoći proračunskim korisnicima iz proračuna koji im nije nadležan. Radi se</w:t>
      </w:r>
      <w:r w:rsidR="000110F7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o prihodima koji se ostvaruju od Ministarstva znanosti i</w:t>
      </w:r>
      <w:r w:rsidR="009D5C11">
        <w:rPr>
          <w:rFonts w:cstheme="minorHAnsi"/>
          <w:sz w:val="24"/>
          <w:szCs w:val="24"/>
        </w:rPr>
        <w:t xml:space="preserve"> obrazovanje (u daljnjem tekstu: </w:t>
      </w:r>
      <w:r>
        <w:rPr>
          <w:rFonts w:cstheme="minorHAnsi"/>
          <w:sz w:val="24"/>
          <w:szCs w:val="24"/>
        </w:rPr>
        <w:t xml:space="preserve">MZO). </w:t>
      </w:r>
    </w:p>
    <w:p w:rsidR="000110F7" w:rsidRDefault="000110F7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110F7" w:rsidRDefault="00DA3AAC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2. - AOP 058</w:t>
      </w:r>
    </w:p>
    <w:p w:rsidR="00D974A4" w:rsidRDefault="009D5C11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stavci evidentirani su prihodi primljeni od Hrvatskog zavoda za zapošljavanje za mjeru aktivne politike zapošljavanja „Pripravništvo“. Prva gimnazija Varaždin (u daljnjem tekstu: škola) od početka školske godine 2021./2022. kroz ovu mjeru zapošljava jednog pripravnika na radnom mjestu stručni suradnik-pedagog. Ostvarena sredstva su namjenska i služe za pokrivanje rashoda za plaću i naknadu za prijevoz na posao i s posla za jednog pripravnika.</w:t>
      </w:r>
    </w:p>
    <w:p w:rsidR="00BD6BEA" w:rsidRDefault="00BD6BEA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974A4" w:rsidRDefault="00BD6BE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3. - </w:t>
      </w:r>
      <w:r w:rsidR="00D974A4" w:rsidRPr="00D974A4">
        <w:rPr>
          <w:rFonts w:cstheme="minorHAnsi"/>
          <w:b/>
          <w:sz w:val="24"/>
          <w:szCs w:val="24"/>
        </w:rPr>
        <w:t>AOP 064</w:t>
      </w:r>
    </w:p>
    <w:p w:rsidR="00D974A4" w:rsidRDefault="00D974A4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Tekuće pomoći proračunskim korisnicima iz proračuna koji im nije nadležan sadrže prihode od strane MZO za isplatu plaća i materijalnih prava zaposlenih</w:t>
      </w:r>
      <w:r w:rsidR="00FD2C36">
        <w:rPr>
          <w:rFonts w:cstheme="minorHAnsi"/>
          <w:sz w:val="24"/>
          <w:szCs w:val="24"/>
        </w:rPr>
        <w:t xml:space="preserve"> kao i prihode koje je škola potraživala i ostvarila od MZO temeljem pravomoćnih sudskih presuda djelatnika za razli</w:t>
      </w:r>
      <w:r w:rsidR="00331A6E">
        <w:rPr>
          <w:rFonts w:cstheme="minorHAnsi"/>
          <w:sz w:val="24"/>
          <w:szCs w:val="24"/>
        </w:rPr>
        <w:t xml:space="preserve">ku plaće za razdoblje 12/2015 do </w:t>
      </w:r>
      <w:r w:rsidR="00FD2C36">
        <w:rPr>
          <w:rFonts w:cstheme="minorHAnsi"/>
          <w:sz w:val="24"/>
          <w:szCs w:val="24"/>
        </w:rPr>
        <w:t>01/2017</w:t>
      </w:r>
      <w:r>
        <w:rPr>
          <w:rFonts w:cstheme="minorHAnsi"/>
          <w:sz w:val="24"/>
          <w:szCs w:val="24"/>
        </w:rPr>
        <w:t xml:space="preserve"> u iznosu od </w:t>
      </w:r>
      <w:r w:rsidR="000775EB">
        <w:rPr>
          <w:rFonts w:cstheme="minorHAnsi"/>
          <w:sz w:val="24"/>
          <w:szCs w:val="24"/>
        </w:rPr>
        <w:t>14.761.179</w:t>
      </w:r>
      <w:r w:rsidR="00AD5E39">
        <w:rPr>
          <w:rFonts w:cstheme="minorHAnsi"/>
          <w:sz w:val="24"/>
          <w:szCs w:val="24"/>
        </w:rPr>
        <w:t xml:space="preserve"> </w:t>
      </w:r>
      <w:r w:rsidR="009A1A15">
        <w:rPr>
          <w:rFonts w:cstheme="minorHAnsi"/>
          <w:sz w:val="24"/>
          <w:szCs w:val="24"/>
        </w:rPr>
        <w:t xml:space="preserve">kn </w:t>
      </w:r>
      <w:r w:rsidR="00AD5E39">
        <w:rPr>
          <w:rFonts w:cstheme="minorHAnsi"/>
          <w:sz w:val="24"/>
          <w:szCs w:val="24"/>
        </w:rPr>
        <w:t>(rashodi za plaće i materijalna prava zaposlenih</w:t>
      </w:r>
      <w:r w:rsidR="00FD2C36">
        <w:rPr>
          <w:rFonts w:cstheme="minorHAnsi"/>
          <w:sz w:val="24"/>
          <w:szCs w:val="24"/>
        </w:rPr>
        <w:t xml:space="preserve"> te rashodi koji </w:t>
      </w:r>
      <w:r w:rsidR="00BB029A">
        <w:rPr>
          <w:rFonts w:cstheme="minorHAnsi"/>
          <w:sz w:val="24"/>
          <w:szCs w:val="24"/>
        </w:rPr>
        <w:t xml:space="preserve">su proizašli </w:t>
      </w:r>
      <w:r w:rsidR="00FD2C36">
        <w:rPr>
          <w:rFonts w:cstheme="minorHAnsi"/>
          <w:sz w:val="24"/>
          <w:szCs w:val="24"/>
        </w:rPr>
        <w:t>iz sudskih presuda</w:t>
      </w:r>
      <w:r w:rsidR="00AD5E39">
        <w:rPr>
          <w:rFonts w:cstheme="minorHAnsi"/>
          <w:sz w:val="24"/>
          <w:szCs w:val="24"/>
        </w:rPr>
        <w:t xml:space="preserve"> iznose </w:t>
      </w:r>
      <w:r w:rsidR="00FD2C36">
        <w:rPr>
          <w:rFonts w:cstheme="minorHAnsi"/>
          <w:sz w:val="24"/>
          <w:szCs w:val="24"/>
        </w:rPr>
        <w:t>14.776.424</w:t>
      </w:r>
      <w:r w:rsidR="00F26EB4">
        <w:rPr>
          <w:rFonts w:cstheme="minorHAnsi"/>
          <w:sz w:val="24"/>
          <w:szCs w:val="24"/>
        </w:rPr>
        <w:t xml:space="preserve"> kn</w:t>
      </w:r>
      <w:r w:rsidR="00AD5E39">
        <w:rPr>
          <w:rFonts w:cstheme="minorHAnsi"/>
          <w:sz w:val="24"/>
          <w:szCs w:val="24"/>
        </w:rPr>
        <w:t xml:space="preserve">), prihode od strane </w:t>
      </w:r>
      <w:r w:rsidR="000775EB">
        <w:rPr>
          <w:rFonts w:cstheme="minorHAnsi"/>
          <w:sz w:val="24"/>
          <w:szCs w:val="24"/>
        </w:rPr>
        <w:t>Agencije za odgoj i obrazovanje za sufinanciranje troškova Županijskih i međužupanijskih stručnih vijeća u iznosu od 9.100</w:t>
      </w:r>
      <w:r w:rsidR="00AD5E39">
        <w:rPr>
          <w:rFonts w:cstheme="minorHAnsi"/>
          <w:sz w:val="24"/>
          <w:szCs w:val="24"/>
        </w:rPr>
        <w:t xml:space="preserve"> kn, prihode od MZO</w:t>
      </w:r>
      <w:r w:rsidR="000775EB">
        <w:rPr>
          <w:rFonts w:cstheme="minorHAnsi"/>
          <w:sz w:val="24"/>
          <w:szCs w:val="24"/>
        </w:rPr>
        <w:t xml:space="preserve"> za refundaciju troškova Covid-19 testiranja sukladno</w:t>
      </w:r>
      <w:r w:rsidR="000775EB" w:rsidRPr="000775EB">
        <w:rPr>
          <w:rFonts w:cstheme="minorHAnsi"/>
          <w:sz w:val="24"/>
          <w:szCs w:val="24"/>
        </w:rPr>
        <w:t xml:space="preserve"> Odluci Stožera civilne zaštite Republike Hrvatske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 w:rsidR="00FD2C36">
        <w:rPr>
          <w:rFonts w:cstheme="minorHAnsi"/>
          <w:sz w:val="24"/>
          <w:szCs w:val="24"/>
        </w:rPr>
        <w:t xml:space="preserve"> u iznosu od 4.564 kn</w:t>
      </w:r>
      <w:r w:rsidR="00AD5E39">
        <w:rPr>
          <w:rFonts w:cstheme="minorHAnsi"/>
          <w:sz w:val="24"/>
          <w:szCs w:val="24"/>
        </w:rPr>
        <w:t xml:space="preserve"> </w:t>
      </w:r>
      <w:r w:rsidR="009A1A15">
        <w:rPr>
          <w:rFonts w:cstheme="minorHAnsi"/>
          <w:sz w:val="24"/>
          <w:szCs w:val="24"/>
        </w:rPr>
        <w:t xml:space="preserve">te </w:t>
      </w:r>
      <w:r w:rsidR="00AD5E39">
        <w:rPr>
          <w:rFonts w:cstheme="minorHAnsi"/>
          <w:sz w:val="24"/>
          <w:szCs w:val="24"/>
        </w:rPr>
        <w:t xml:space="preserve">prihode od Nacionalnog centra za vanjsko vrednovanje obrazovanja za refundaciju putnih naloga u iznosu od </w:t>
      </w:r>
      <w:r w:rsidR="000775EB">
        <w:rPr>
          <w:rFonts w:cstheme="minorHAnsi"/>
          <w:sz w:val="24"/>
          <w:szCs w:val="24"/>
        </w:rPr>
        <w:t>3.200 kn</w:t>
      </w:r>
      <w:r w:rsidR="00AD5E39">
        <w:rPr>
          <w:rFonts w:cstheme="minorHAnsi"/>
          <w:sz w:val="24"/>
          <w:szCs w:val="24"/>
        </w:rPr>
        <w:t>.</w:t>
      </w:r>
    </w:p>
    <w:p w:rsidR="00AD5E39" w:rsidRDefault="00AD5E39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D5E39" w:rsidRDefault="00BB029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4. - </w:t>
      </w:r>
      <w:r w:rsidR="00AD5E39" w:rsidRPr="00AD5E39">
        <w:rPr>
          <w:rFonts w:cstheme="minorHAnsi"/>
          <w:b/>
          <w:sz w:val="24"/>
          <w:szCs w:val="24"/>
        </w:rPr>
        <w:t>AOP 065</w:t>
      </w:r>
    </w:p>
    <w:p w:rsidR="00BD6674" w:rsidRDefault="00AD5E39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Kapitalne pomoći proračunskim korisnicima iz proračuna koji im nije nadležan odnose se na prihode od MZO za nabav</w:t>
      </w:r>
      <w:r w:rsidR="000775EB">
        <w:rPr>
          <w:rFonts w:cstheme="minorHAnsi"/>
          <w:sz w:val="24"/>
          <w:szCs w:val="24"/>
        </w:rPr>
        <w:t>u lektire i stručne literature (8.400 kn) te na prihode ostvarene za dodatna ulaganja na zgradi škole (</w:t>
      </w:r>
      <w:r w:rsidR="007B007B">
        <w:rPr>
          <w:rFonts w:cstheme="minorHAnsi"/>
          <w:sz w:val="24"/>
          <w:szCs w:val="24"/>
        </w:rPr>
        <w:t>fasadni radovi) primljene</w:t>
      </w:r>
      <w:r w:rsidR="000775EB">
        <w:rPr>
          <w:rFonts w:cstheme="minorHAnsi"/>
          <w:sz w:val="24"/>
          <w:szCs w:val="24"/>
        </w:rPr>
        <w:t xml:space="preserve"> od Ministarstva kulture</w:t>
      </w:r>
      <w:r w:rsidR="007B007B">
        <w:rPr>
          <w:rFonts w:cstheme="minorHAnsi"/>
          <w:sz w:val="24"/>
          <w:szCs w:val="24"/>
        </w:rPr>
        <w:t xml:space="preserve"> i medija Republike Hrvatske</w:t>
      </w:r>
      <w:r w:rsidR="000775EB">
        <w:rPr>
          <w:rFonts w:cstheme="minorHAnsi"/>
          <w:sz w:val="24"/>
          <w:szCs w:val="24"/>
        </w:rPr>
        <w:t xml:space="preserve"> </w:t>
      </w:r>
      <w:r w:rsidR="007B007B">
        <w:rPr>
          <w:rFonts w:cstheme="minorHAnsi"/>
          <w:sz w:val="24"/>
          <w:szCs w:val="24"/>
        </w:rPr>
        <w:t xml:space="preserve">prema javnom pozivu za Program zaštite i očuvanja nepokretnih kulturnih dobara </w:t>
      </w:r>
      <w:r w:rsidR="000775EB">
        <w:rPr>
          <w:rFonts w:cstheme="minorHAnsi"/>
          <w:sz w:val="24"/>
          <w:szCs w:val="24"/>
        </w:rPr>
        <w:t>(100.000 kn).</w:t>
      </w:r>
    </w:p>
    <w:p w:rsidR="00F53A12" w:rsidRDefault="00F53A12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D6674" w:rsidRDefault="00F53A12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5. – AOP 112</w:t>
      </w:r>
    </w:p>
    <w:p w:rsidR="00F53A12" w:rsidRPr="00F53A12" w:rsidRDefault="00F53A12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Najveći dio prihoda evidentiranih na ovoj stavci odnosi se na uplate učenika za osiguranje od nezgode.</w:t>
      </w:r>
    </w:p>
    <w:p w:rsidR="00F53A12" w:rsidRDefault="00F53A12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5E10" w:rsidRDefault="00465E10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5E10" w:rsidRPr="00465E10" w:rsidRDefault="00465E10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65E10">
        <w:rPr>
          <w:rFonts w:cstheme="minorHAnsi"/>
          <w:b/>
          <w:sz w:val="24"/>
          <w:szCs w:val="24"/>
        </w:rPr>
        <w:lastRenderedPageBreak/>
        <w:t>Bilješka 6. – AOP 122</w:t>
      </w:r>
    </w:p>
    <w:p w:rsidR="007D7D88" w:rsidRDefault="00465E10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Škola </w:t>
      </w:r>
      <w:r w:rsidR="00BD6674">
        <w:rPr>
          <w:rFonts w:cstheme="minorHAnsi"/>
          <w:sz w:val="24"/>
          <w:szCs w:val="24"/>
        </w:rPr>
        <w:t>ostvaruje prihod</w:t>
      </w:r>
      <w:r w:rsidR="00DA3AAC">
        <w:rPr>
          <w:rFonts w:cstheme="minorHAnsi"/>
          <w:sz w:val="24"/>
          <w:szCs w:val="24"/>
        </w:rPr>
        <w:t>e od školarina</w:t>
      </w:r>
      <w:r w:rsidR="007D7D88">
        <w:rPr>
          <w:rFonts w:cstheme="minorHAnsi"/>
          <w:sz w:val="24"/>
          <w:szCs w:val="24"/>
        </w:rPr>
        <w:t xml:space="preserve"> učenika za provođenje programa Međunarodne mature </w:t>
      </w:r>
      <w:r w:rsidR="007D7D88" w:rsidRPr="007D7D88">
        <w:rPr>
          <w:rFonts w:cstheme="minorHAnsi"/>
          <w:sz w:val="24"/>
          <w:szCs w:val="24"/>
        </w:rPr>
        <w:t xml:space="preserve">(IBDP - International </w:t>
      </w:r>
      <w:proofErr w:type="spellStart"/>
      <w:r w:rsidR="007D7D88" w:rsidRPr="007D7D88">
        <w:rPr>
          <w:rFonts w:cstheme="minorHAnsi"/>
          <w:sz w:val="24"/>
          <w:szCs w:val="24"/>
        </w:rPr>
        <w:t>Baccalaureate</w:t>
      </w:r>
      <w:proofErr w:type="spellEnd"/>
      <w:r w:rsidR="007D7D88" w:rsidRPr="007D7D88">
        <w:rPr>
          <w:rFonts w:cstheme="minorHAnsi"/>
          <w:sz w:val="24"/>
          <w:szCs w:val="24"/>
        </w:rPr>
        <w:t xml:space="preserve"> Diploma </w:t>
      </w:r>
      <w:proofErr w:type="spellStart"/>
      <w:r w:rsidR="007D7D88" w:rsidRPr="007D7D88">
        <w:rPr>
          <w:rFonts w:cstheme="minorHAnsi"/>
          <w:sz w:val="24"/>
          <w:szCs w:val="24"/>
        </w:rPr>
        <w:t>Programme</w:t>
      </w:r>
      <w:proofErr w:type="spellEnd"/>
      <w:r w:rsidR="007D7D88" w:rsidRPr="007D7D88">
        <w:rPr>
          <w:rFonts w:cstheme="minorHAnsi"/>
          <w:sz w:val="24"/>
          <w:szCs w:val="24"/>
        </w:rPr>
        <w:t>)</w:t>
      </w:r>
      <w:r w:rsidR="007D7D88">
        <w:rPr>
          <w:rFonts w:cstheme="minorHAnsi"/>
          <w:sz w:val="24"/>
          <w:szCs w:val="24"/>
        </w:rPr>
        <w:t xml:space="preserve"> te programa sa skupinom predmeta na englesko</w:t>
      </w:r>
      <w:r>
        <w:rPr>
          <w:rFonts w:cstheme="minorHAnsi"/>
          <w:sz w:val="24"/>
          <w:szCs w:val="24"/>
        </w:rPr>
        <w:t xml:space="preserve">m jeziku (dvojezična gimnazija) te se velika većina prihoda evidentiranih na ovom AOP-u odnosi upravo na školarine učenike. Osim navedenog, na ovom AOP-u evidentirani su i prihodi od uplata učenika za fakultativnu nastavu te </w:t>
      </w:r>
      <w:r w:rsidR="007D7D88">
        <w:rPr>
          <w:rFonts w:cstheme="minorHAnsi"/>
          <w:sz w:val="24"/>
          <w:szCs w:val="24"/>
        </w:rPr>
        <w:t xml:space="preserve">prihod od zakupa poslovnog prostora. </w:t>
      </w:r>
    </w:p>
    <w:p w:rsidR="00465E10" w:rsidRDefault="00465E10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7D7D88" w:rsidRDefault="00465E10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</w:t>
      </w:r>
      <w:r w:rsidR="00E23F2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7. - </w:t>
      </w:r>
      <w:r w:rsidR="00E23F26">
        <w:rPr>
          <w:rFonts w:cstheme="minorHAnsi"/>
          <w:b/>
          <w:sz w:val="24"/>
          <w:szCs w:val="24"/>
        </w:rPr>
        <w:t>AOP 124</w:t>
      </w:r>
    </w:p>
    <w:p w:rsidR="00E23F26" w:rsidRDefault="00E23F26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izvještajnom razdoblju ostvarene su dvije tekuće donacije. 1.000 kn odnosi se na donaciju fizičke osobe dok se iznos od 152 kn odnosi na donaciju Gradskog društva Crvenog križa Varaždin.</w:t>
      </w:r>
    </w:p>
    <w:p w:rsidR="006C224B" w:rsidRDefault="006C224B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C224B" w:rsidRDefault="00DD4EA4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8. - AOP 128</w:t>
      </w:r>
    </w:p>
    <w:p w:rsidR="008C2BC0" w:rsidRDefault="008C2BC0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iz nadležnog proračuna sadrže prihode od strane Osnivača (Varaždinska županija) za pokrivanje rashoda poslovanja</w:t>
      </w:r>
      <w:r w:rsidR="001316E4">
        <w:rPr>
          <w:rFonts w:cstheme="minorHAnsi"/>
          <w:sz w:val="24"/>
          <w:szCs w:val="24"/>
        </w:rPr>
        <w:t xml:space="preserve"> i rashoda za nefinancijsku imovinu</w:t>
      </w:r>
      <w:r>
        <w:rPr>
          <w:rFonts w:cstheme="minorHAnsi"/>
          <w:sz w:val="24"/>
          <w:szCs w:val="24"/>
        </w:rPr>
        <w:t xml:space="preserve"> za decentralizirane funkcije prema zakonskom standardu i iznad zakonskog standarda. Od ukupnog iznosa prihoda od nadležnog proračuna, prihod u iznosu od </w:t>
      </w:r>
      <w:r w:rsidR="00FB3202">
        <w:rPr>
          <w:rFonts w:cstheme="minorHAnsi"/>
          <w:sz w:val="24"/>
          <w:szCs w:val="24"/>
        </w:rPr>
        <w:t>187.664</w:t>
      </w:r>
      <w:r>
        <w:rPr>
          <w:rFonts w:cstheme="minorHAnsi"/>
          <w:sz w:val="24"/>
          <w:szCs w:val="24"/>
        </w:rPr>
        <w:t xml:space="preserve">  ostvaren je za nabavu nefinancijske imovine će se provedbom obvezne korekcije u bilanci za taj iznos te</w:t>
      </w:r>
      <w:r w:rsidR="009D4F5B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iznos iskazan na AOP-u 065 iskazati k</w:t>
      </w:r>
      <w:r w:rsidR="00FB3202">
        <w:rPr>
          <w:rFonts w:cstheme="minorHAnsi"/>
          <w:sz w:val="24"/>
          <w:szCs w:val="24"/>
        </w:rPr>
        <w:t>origirani rezultati poslovanja. Ostvareni prihodi na AOP-u 128</w:t>
      </w:r>
      <w:r>
        <w:rPr>
          <w:rFonts w:cstheme="minorHAnsi"/>
          <w:sz w:val="24"/>
          <w:szCs w:val="24"/>
        </w:rPr>
        <w:t xml:space="preserve"> na znatno su</w:t>
      </w:r>
      <w:r w:rsidR="00FB3202">
        <w:rPr>
          <w:rFonts w:cstheme="minorHAnsi"/>
          <w:sz w:val="24"/>
          <w:szCs w:val="24"/>
        </w:rPr>
        <w:t xml:space="preserve"> manjoj</w:t>
      </w:r>
      <w:r>
        <w:rPr>
          <w:rFonts w:cstheme="minorHAnsi"/>
          <w:sz w:val="24"/>
          <w:szCs w:val="24"/>
        </w:rPr>
        <w:t xml:space="preserve"> razini u odnosu na isto izvještajno razdoblje prethodne godine, a prvenstveno </w:t>
      </w:r>
      <w:r w:rsidR="009D4F5B">
        <w:rPr>
          <w:rFonts w:cstheme="minorHAnsi"/>
          <w:sz w:val="24"/>
          <w:szCs w:val="24"/>
        </w:rPr>
        <w:t>jer su u prethodnom izvještajnom razdoblju ostvarena</w:t>
      </w:r>
      <w:r w:rsidR="00DA3AAC">
        <w:rPr>
          <w:rFonts w:cstheme="minorHAnsi"/>
          <w:sz w:val="24"/>
          <w:szCs w:val="24"/>
        </w:rPr>
        <w:t xml:space="preserve"> dodatna</w:t>
      </w:r>
      <w:r>
        <w:rPr>
          <w:rFonts w:cstheme="minorHAnsi"/>
          <w:sz w:val="24"/>
          <w:szCs w:val="24"/>
        </w:rPr>
        <w:t xml:space="preserve"> sredstava od Osnivača za nabavu nefinancijske imovine (opremanje kabineta uređajima, opremom i namještajem) te dodatna ulaganja na zgradi škole (radovi na sanaciji krovišta, radovi na rekonstrukciji grijanja, vodoinstalaterski radovi, građev</w:t>
      </w:r>
      <w:r w:rsidR="009D4F5B">
        <w:rPr>
          <w:rFonts w:cstheme="minorHAnsi"/>
          <w:sz w:val="24"/>
          <w:szCs w:val="24"/>
        </w:rPr>
        <w:t>inski i soboslikarski radovi).</w:t>
      </w:r>
    </w:p>
    <w:p w:rsidR="008C2BC0" w:rsidRDefault="008C2BC0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13078" w:rsidRDefault="00037F82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9. - AOP 146</w:t>
      </w:r>
    </w:p>
    <w:p w:rsidR="00F270EB" w:rsidRDefault="00F270EB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odnosu na isto izvještajno razdoblje prethodne godine r</w:t>
      </w:r>
      <w:r w:rsidR="00037F82">
        <w:rPr>
          <w:rFonts w:cstheme="minorHAnsi"/>
          <w:sz w:val="24"/>
          <w:szCs w:val="24"/>
        </w:rPr>
        <w:t xml:space="preserve">ashodi za zaposlene veći su za 9,5 %. </w:t>
      </w:r>
      <w:r>
        <w:rPr>
          <w:rFonts w:cstheme="minorHAnsi"/>
          <w:sz w:val="24"/>
          <w:szCs w:val="24"/>
        </w:rPr>
        <w:t xml:space="preserve">Najvećim dijelom posljedica je to povećanih potreba za rashodima </w:t>
      </w:r>
      <w:r w:rsidR="00037F82">
        <w:rPr>
          <w:rFonts w:cstheme="minorHAnsi"/>
          <w:sz w:val="24"/>
          <w:szCs w:val="24"/>
        </w:rPr>
        <w:t xml:space="preserve">koji su nastali temeljem sudskih presuda za tužbe koje su djelatnici podigli za razliku plaće za razdoblje od 12/2015 do 01/2017 a dijelom i </w:t>
      </w:r>
      <w:r>
        <w:rPr>
          <w:rFonts w:cstheme="minorHAnsi"/>
          <w:sz w:val="24"/>
          <w:szCs w:val="24"/>
        </w:rPr>
        <w:t xml:space="preserve">temeljem rasta </w:t>
      </w:r>
      <w:r w:rsidR="00037F82">
        <w:rPr>
          <w:rFonts w:cstheme="minorHAnsi"/>
          <w:sz w:val="24"/>
          <w:szCs w:val="24"/>
        </w:rPr>
        <w:t>osnovne plaće djelatnika (povećanje osnovice,  koeficijenata i dodatka po Sporazumu NN 122/19 za obračun plaće od plaće za siječanj 2021.</w:t>
      </w:r>
      <w:r w:rsidR="001911B9">
        <w:rPr>
          <w:rFonts w:cstheme="minorHAnsi"/>
          <w:sz w:val="24"/>
          <w:szCs w:val="24"/>
        </w:rPr>
        <w:t>) kao i temeljem većih potreba za prekovremenim radom zbog zamjena odsutnih djelatnika.</w:t>
      </w:r>
    </w:p>
    <w:p w:rsidR="001911B9" w:rsidRDefault="001911B9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911B9" w:rsidRDefault="001911B9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911B9" w:rsidRDefault="001911B9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911B9" w:rsidRDefault="00764D3C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64D3C">
        <w:rPr>
          <w:rFonts w:cstheme="minorHAnsi"/>
          <w:b/>
          <w:sz w:val="24"/>
          <w:szCs w:val="24"/>
        </w:rPr>
        <w:lastRenderedPageBreak/>
        <w:t>Bilješka 10. – AOP 151</w:t>
      </w:r>
    </w:p>
    <w:p w:rsidR="00764D3C" w:rsidRDefault="00764D3C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Zbog većeg broja bolovanja djelatnika (izolacije i samoizolacije) uslijed nepovoljne epidemiološke situacije, a kako bi škola mogla osigurati nesmetano obavljanje odgojno-obrazovnog rada javile su se i povećane potrebe za prekovremenim radom (zamjene nastavnika) što je za posljedicu imalo rast troškova plaća za prekovremeni rad.</w:t>
      </w:r>
    </w:p>
    <w:p w:rsidR="001911B9" w:rsidRPr="001911B9" w:rsidRDefault="001911B9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F270EB" w:rsidRPr="002A02B3" w:rsidRDefault="00BF744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F744A">
        <w:rPr>
          <w:rFonts w:cstheme="minorHAnsi"/>
          <w:b/>
          <w:sz w:val="24"/>
          <w:szCs w:val="24"/>
        </w:rPr>
        <w:t>Bilješka 11. - AOP 158</w:t>
      </w:r>
    </w:p>
    <w:p w:rsidR="00BF744A" w:rsidRDefault="00F270EB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Materijalni rashodi u odnosu na isto izvještajno razdoblje prethodne </w:t>
      </w:r>
      <w:r w:rsidR="00BF744A">
        <w:rPr>
          <w:rFonts w:cstheme="minorHAnsi"/>
          <w:sz w:val="24"/>
          <w:szCs w:val="24"/>
        </w:rPr>
        <w:t>godine ostvareni su u 8,5%</w:t>
      </w:r>
      <w:r>
        <w:rPr>
          <w:rFonts w:cstheme="minorHAnsi"/>
          <w:sz w:val="24"/>
          <w:szCs w:val="24"/>
        </w:rPr>
        <w:t xml:space="preserve"> manjem iznosu. Razlog tome je epidemiološka situacija uslijed koje je došlo do smanjenih potreba na pojedini</w:t>
      </w:r>
      <w:r w:rsidR="00BF744A">
        <w:rPr>
          <w:rFonts w:cstheme="minorHAnsi"/>
          <w:sz w:val="24"/>
          <w:szCs w:val="24"/>
        </w:rPr>
        <w:t>m stavkama od AOP-a 165 do 171.</w:t>
      </w:r>
    </w:p>
    <w:p w:rsidR="00D2106D" w:rsidRPr="002A02B3" w:rsidRDefault="00D2106D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BF744A" w:rsidRDefault="00BF744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12. – AOP 172</w:t>
      </w:r>
    </w:p>
    <w:p w:rsidR="001037CD" w:rsidRDefault="00BF744A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 su ukupni rashodi za usluge u izvještajnom razdoblju u odnosu na prethodno izvještajno razdoblje ostvareni na gotovo istoj razini, n</w:t>
      </w:r>
      <w:r w:rsidR="002A02B3">
        <w:rPr>
          <w:rFonts w:cstheme="minorHAnsi"/>
          <w:sz w:val="24"/>
          <w:szCs w:val="24"/>
        </w:rPr>
        <w:t xml:space="preserve">a pojedinim stavkama unutar rashoda za usluge </w:t>
      </w:r>
      <w:r>
        <w:rPr>
          <w:rFonts w:cstheme="minorHAnsi"/>
          <w:sz w:val="24"/>
          <w:szCs w:val="24"/>
        </w:rPr>
        <w:t>ostvarene su uštede (AOP 173</w:t>
      </w:r>
      <w:r w:rsidR="001C096A">
        <w:rPr>
          <w:rFonts w:cstheme="minorHAnsi"/>
          <w:sz w:val="24"/>
          <w:szCs w:val="24"/>
        </w:rPr>
        <w:t>, AOP 177, AOP 179) dok je na nekim stavkama indeks veći od 100.</w:t>
      </w:r>
      <w:r w:rsidR="002A02B3">
        <w:rPr>
          <w:rFonts w:cstheme="minorHAnsi"/>
          <w:sz w:val="24"/>
          <w:szCs w:val="24"/>
        </w:rPr>
        <w:t xml:space="preserve"> </w:t>
      </w:r>
      <w:r w:rsidR="001C096A">
        <w:rPr>
          <w:rFonts w:cstheme="minorHAnsi"/>
          <w:sz w:val="24"/>
          <w:szCs w:val="24"/>
        </w:rPr>
        <w:t>Razlog je drugačija raspodjela sredstava unutar rashoda za usluge zbog različitih potreba u odnosu na prethodno razdoblje.</w:t>
      </w:r>
    </w:p>
    <w:p w:rsidR="001C096A" w:rsidRDefault="001C096A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C096A" w:rsidRDefault="001C096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C096A">
        <w:rPr>
          <w:rFonts w:cstheme="minorHAnsi"/>
          <w:b/>
          <w:sz w:val="24"/>
          <w:szCs w:val="24"/>
        </w:rPr>
        <w:t>Bilješka 13. – AOP 178</w:t>
      </w:r>
    </w:p>
    <w:p w:rsidR="001C096A" w:rsidRPr="001C096A" w:rsidRDefault="001C096A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povećanih potreba na ovoj stavci došlo je prvenstveno zbog obveze </w:t>
      </w:r>
      <w:r w:rsidR="002B6119">
        <w:rPr>
          <w:rFonts w:cstheme="minorHAnsi"/>
          <w:sz w:val="24"/>
          <w:szCs w:val="24"/>
        </w:rPr>
        <w:t>testiranja na Covid-19 za nekoliko djelatnika sukladno</w:t>
      </w:r>
      <w:r w:rsidR="002B6119" w:rsidRPr="000775EB">
        <w:rPr>
          <w:rFonts w:cstheme="minorHAnsi"/>
          <w:sz w:val="24"/>
          <w:szCs w:val="24"/>
        </w:rPr>
        <w:t xml:space="preserve"> Odluci Stožera civilne zaštite Republike Hrvatske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 w:rsidR="002B6119">
        <w:rPr>
          <w:rFonts w:cstheme="minorHAnsi"/>
          <w:sz w:val="24"/>
          <w:szCs w:val="24"/>
        </w:rPr>
        <w:t>. Dio nastalih troškova školi je krajem 2021. godine refundiralo MZO, a preostali dio refundacije troškova koji se odnose na 2021. godinu očekuje se početkom 2022. godine.</w:t>
      </w:r>
    </w:p>
    <w:p w:rsidR="001C096A" w:rsidRPr="001C096A" w:rsidRDefault="001C096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1C096A" w:rsidRDefault="001C096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14</w:t>
      </w:r>
      <w:r w:rsidRPr="001C096A">
        <w:rPr>
          <w:rFonts w:cstheme="minorHAnsi"/>
          <w:b/>
          <w:sz w:val="24"/>
          <w:szCs w:val="24"/>
        </w:rPr>
        <w:t>. – AOP 181</w:t>
      </w:r>
    </w:p>
    <w:p w:rsidR="001C096A" w:rsidRDefault="001C096A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većeg odstupanja došlo je zbog drugačijeg konta knjiženja u odnosu na prošlu godinu. Prethodne godine veći dio rashoda koji je 2021. iskazan na AOP-u 181 iskazao se na AOP-u 190. Time je objašnjeno i veliko odstupanje na AOP-u 190.</w:t>
      </w:r>
    </w:p>
    <w:p w:rsidR="00037505" w:rsidRDefault="00037505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037CD" w:rsidRPr="00037505" w:rsidRDefault="00037505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37505">
        <w:rPr>
          <w:rFonts w:cstheme="minorHAnsi"/>
          <w:b/>
          <w:sz w:val="24"/>
          <w:szCs w:val="24"/>
        </w:rPr>
        <w:t>Bilješka 15. - AOP 182</w:t>
      </w:r>
    </w:p>
    <w:p w:rsidR="002A02B3" w:rsidRDefault="001037CD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Na ovoj stavci </w:t>
      </w:r>
      <w:r w:rsidR="00037505">
        <w:rPr>
          <w:rFonts w:cstheme="minorHAnsi"/>
          <w:sz w:val="24"/>
          <w:szCs w:val="24"/>
        </w:rPr>
        <w:t>knjiženi</w:t>
      </w:r>
      <w:r>
        <w:rPr>
          <w:rFonts w:cstheme="minorHAnsi"/>
          <w:sz w:val="24"/>
          <w:szCs w:val="24"/>
        </w:rPr>
        <w:t xml:space="preserve"> su troškovi </w:t>
      </w:r>
      <w:r w:rsidR="00037505">
        <w:rPr>
          <w:rFonts w:cstheme="minorHAnsi"/>
          <w:sz w:val="24"/>
          <w:szCs w:val="24"/>
        </w:rPr>
        <w:t>prijevoza na dodjelu nagrade za učenicu. Učenica je putovala u vlastitom aranžmanu te su joj naknadno refundirani troškovi.</w:t>
      </w:r>
    </w:p>
    <w:p w:rsidR="001037CD" w:rsidRDefault="001037CD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0061D" w:rsidRPr="0030061D" w:rsidRDefault="0030061D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0061D">
        <w:rPr>
          <w:rFonts w:cstheme="minorHAnsi"/>
          <w:b/>
          <w:sz w:val="24"/>
          <w:szCs w:val="24"/>
        </w:rPr>
        <w:t>Bilješka 16. – AOP 189</w:t>
      </w:r>
    </w:p>
    <w:p w:rsidR="0030061D" w:rsidRDefault="0030061D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 sudskih postupaka odnose se na troškove proizašle iz pravomoćnih sudskih presuda za razliku plaće temeljem tužbi koje su djelatnici podigli za razdoblje od 12/2015 do 01/2017. Troškove sudskih postupaka škola je potraživala od MZO koji je iste refundirao.</w:t>
      </w:r>
    </w:p>
    <w:p w:rsidR="0030061D" w:rsidRDefault="0030061D" w:rsidP="007B007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05260" w:rsidRDefault="0030061D" w:rsidP="00AD5E39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17</w:t>
      </w:r>
      <w:r w:rsidR="00BC33AD">
        <w:rPr>
          <w:rFonts w:cstheme="minorHAnsi"/>
          <w:b/>
          <w:sz w:val="24"/>
          <w:szCs w:val="24"/>
        </w:rPr>
        <w:t>. – AOP 191</w:t>
      </w:r>
    </w:p>
    <w:p w:rsidR="00BC33AD" w:rsidRPr="00BC33AD" w:rsidRDefault="00BC33AD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iznimno velikog odstupanja došlo je zbog </w:t>
      </w:r>
      <w:r w:rsidR="00D90B2B">
        <w:rPr>
          <w:rFonts w:cstheme="minorHAnsi"/>
          <w:sz w:val="24"/>
          <w:szCs w:val="24"/>
        </w:rPr>
        <w:t>povećanih potreba na AOP-u 208, a radi se o troškovima koji su nastali zbog pravomoćnih sudskih presuda za razlike plaće. Budući da su djelatnici podigli tužbe za razliku plaća iz ranijeg razdoblja (12/15 do 01/17) škola je bila u obvezi obračunati i uplatiti zakonske zatezne kamate na sva javna davanja (doprinose, porez, prirez) kao i zatezne kamate na neto iznose te zatezne kamata na troškove parničnih postupaka. Troškove koji su proizašli iz pravomoćnih sudskih presuda škola je potraživala od MZO koji je iste refundirao.</w:t>
      </w:r>
    </w:p>
    <w:p w:rsidR="00BC33AD" w:rsidRDefault="00BC33AD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05260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18</w:t>
      </w:r>
      <w:r w:rsidR="008E3BB8">
        <w:rPr>
          <w:rFonts w:cstheme="minorHAnsi"/>
          <w:b/>
          <w:sz w:val="24"/>
          <w:szCs w:val="24"/>
        </w:rPr>
        <w:t>. - AOP 255</w:t>
      </w:r>
    </w:p>
    <w:p w:rsidR="00BB44D2" w:rsidRDefault="00BB44D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AOP oznaci iskazana su sredstva za sufinanciranje prehrane uplaćena učenicima slabijeg imovinskog stanja. Izvor sredstava je proračun Osnivača.</w:t>
      </w:r>
    </w:p>
    <w:p w:rsidR="008E3BB8" w:rsidRDefault="008E3BB8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E3BB8" w:rsidRPr="008E3BB8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19</w:t>
      </w:r>
      <w:r w:rsidR="008E3BB8" w:rsidRPr="008E3BB8">
        <w:rPr>
          <w:rFonts w:cstheme="minorHAnsi"/>
          <w:b/>
          <w:sz w:val="24"/>
          <w:szCs w:val="24"/>
        </w:rPr>
        <w:t>. – AOP 256</w:t>
      </w:r>
    </w:p>
    <w:p w:rsidR="00BB44D2" w:rsidRDefault="008E3BB8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ovoj AOP oznaci </w:t>
      </w:r>
      <w:r w:rsidR="00A2614C">
        <w:rPr>
          <w:rFonts w:cstheme="minorHAnsi"/>
          <w:sz w:val="24"/>
          <w:szCs w:val="24"/>
        </w:rPr>
        <w:t xml:space="preserve">iskazani su troškovi testiranja na Covid-19 za učenike koji su bili u obvezi predočiti </w:t>
      </w:r>
      <w:proofErr w:type="spellStart"/>
      <w:r w:rsidR="00A2614C">
        <w:rPr>
          <w:rFonts w:cstheme="minorHAnsi"/>
          <w:sz w:val="24"/>
          <w:szCs w:val="24"/>
        </w:rPr>
        <w:t>Covid</w:t>
      </w:r>
      <w:proofErr w:type="spellEnd"/>
      <w:r w:rsidR="00A2614C">
        <w:rPr>
          <w:rFonts w:cstheme="minorHAnsi"/>
          <w:sz w:val="24"/>
          <w:szCs w:val="24"/>
        </w:rPr>
        <w:t xml:space="preserve"> potvrdu pri prelasku granice prilikom sudjelovanja na </w:t>
      </w:r>
      <w:proofErr w:type="spellStart"/>
      <w:r w:rsidR="00A2614C">
        <w:rPr>
          <w:rFonts w:cstheme="minorHAnsi"/>
          <w:sz w:val="24"/>
          <w:szCs w:val="24"/>
        </w:rPr>
        <w:t>Erasmus</w:t>
      </w:r>
      <w:proofErr w:type="spellEnd"/>
      <w:r w:rsidR="00A2614C">
        <w:rPr>
          <w:rFonts w:cstheme="minorHAnsi"/>
          <w:sz w:val="24"/>
          <w:szCs w:val="24"/>
        </w:rPr>
        <w:t>+ mobilnostima te na sportskim natjecanjima u organizaciji Hrvatskog školskog sportskog saveza.</w:t>
      </w:r>
    </w:p>
    <w:p w:rsidR="003212C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212CB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20</w:t>
      </w:r>
      <w:r w:rsidR="005834AF">
        <w:rPr>
          <w:rFonts w:cstheme="minorHAnsi"/>
          <w:b/>
          <w:sz w:val="24"/>
          <w:szCs w:val="24"/>
        </w:rPr>
        <w:t>. - AOP 285</w:t>
      </w:r>
    </w:p>
    <w:p w:rsidR="003212C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izvj</w:t>
      </w:r>
      <w:r w:rsidR="005834AF">
        <w:rPr>
          <w:rFonts w:cstheme="minorHAnsi"/>
          <w:sz w:val="24"/>
          <w:szCs w:val="24"/>
        </w:rPr>
        <w:t>eštajnoj razdoblju od 01.01.2021. do 31.12.2021</w:t>
      </w:r>
      <w:r>
        <w:rPr>
          <w:rFonts w:cstheme="minorHAnsi"/>
          <w:sz w:val="24"/>
          <w:szCs w:val="24"/>
        </w:rPr>
        <w:t xml:space="preserve">. ostvaren je višak prihoda poslovanja u iznosu od </w:t>
      </w:r>
      <w:r w:rsidR="005834AF">
        <w:rPr>
          <w:rFonts w:cstheme="minorHAnsi"/>
          <w:sz w:val="24"/>
          <w:szCs w:val="24"/>
        </w:rPr>
        <w:t>41.157</w:t>
      </w:r>
      <w:r>
        <w:rPr>
          <w:rFonts w:cstheme="minorHAnsi"/>
          <w:sz w:val="24"/>
          <w:szCs w:val="24"/>
        </w:rPr>
        <w:t xml:space="preserve"> kn.</w:t>
      </w:r>
    </w:p>
    <w:p w:rsidR="003212C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212CB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21</w:t>
      </w:r>
      <w:r w:rsidR="005834AF">
        <w:rPr>
          <w:rFonts w:cstheme="minorHAnsi"/>
          <w:b/>
          <w:sz w:val="24"/>
          <w:szCs w:val="24"/>
        </w:rPr>
        <w:t xml:space="preserve">. - </w:t>
      </w:r>
      <w:r w:rsidR="00726FDD">
        <w:rPr>
          <w:rFonts w:cstheme="minorHAnsi"/>
          <w:b/>
          <w:sz w:val="24"/>
          <w:szCs w:val="24"/>
        </w:rPr>
        <w:t>AOP 288</w:t>
      </w:r>
    </w:p>
    <w:p w:rsidR="00461AC1" w:rsidRPr="00461AC1" w:rsidRDefault="00461AC1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 w:rsidRPr="00461AC1">
        <w:rPr>
          <w:rFonts w:cstheme="minorHAnsi"/>
          <w:sz w:val="24"/>
          <w:szCs w:val="24"/>
        </w:rPr>
        <w:t>Zbog</w:t>
      </w:r>
      <w:r w:rsidR="009C3DAB">
        <w:rPr>
          <w:rFonts w:cstheme="minorHAnsi"/>
          <w:sz w:val="24"/>
          <w:szCs w:val="24"/>
        </w:rPr>
        <w:t xml:space="preserve"> knjiženja O</w:t>
      </w:r>
      <w:r w:rsidRPr="00461AC1">
        <w:rPr>
          <w:rFonts w:cstheme="minorHAnsi"/>
          <w:sz w:val="24"/>
          <w:szCs w:val="24"/>
        </w:rPr>
        <w:t xml:space="preserve">dluke o raspodjeli rezultata te korekcije rezultata poslovanja zbog povrata neutrošenog dijela sredstava primljenih za projekt „Voda – plavo zlato“ Zakladi Solidarna, a </w:t>
      </w:r>
      <w:r w:rsidRPr="00461AC1">
        <w:rPr>
          <w:rFonts w:cstheme="minorHAnsi"/>
          <w:sz w:val="24"/>
          <w:szCs w:val="24"/>
        </w:rPr>
        <w:lastRenderedPageBreak/>
        <w:t xml:space="preserve">primljenih u prethodnom razdoblju, preneseni rezultat poslovanja razlikuje se od onog iskazanog na dan 31.12.2020. godine. Nakon provedenih korekcija preneseni manjak prihoda poslovanja iznosi 24.942 kune. </w:t>
      </w:r>
    </w:p>
    <w:p w:rsidR="00461AC1" w:rsidRDefault="00461AC1" w:rsidP="00B211E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</w:p>
    <w:p w:rsidR="00B211E1" w:rsidRDefault="00B211E1" w:rsidP="00B211E1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</w:p>
    <w:p w:rsidR="002B395F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22</w:t>
      </w:r>
      <w:r w:rsidR="003D1F2A">
        <w:rPr>
          <w:rFonts w:cstheme="minorHAnsi"/>
          <w:b/>
          <w:sz w:val="24"/>
          <w:szCs w:val="24"/>
        </w:rPr>
        <w:t xml:space="preserve">. - </w:t>
      </w:r>
      <w:r w:rsidR="00B211E1">
        <w:rPr>
          <w:rFonts w:cstheme="minorHAnsi"/>
          <w:b/>
          <w:sz w:val="24"/>
          <w:szCs w:val="24"/>
        </w:rPr>
        <w:t>AOP 289</w:t>
      </w:r>
    </w:p>
    <w:p w:rsidR="002B395F" w:rsidRDefault="002B395F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Obračunati nenaplaćeni prihodi odnose se na nenaplaćena potraživanja od učenika za školarine za program IBDP te program provođenja dijela nastave na engleskom jeziku. Radi se najvećim dijelom o školarinama za mjesec prosinac </w:t>
      </w:r>
      <w:r w:rsidR="0033720D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 xml:space="preserve">koje se </w:t>
      </w:r>
      <w:r w:rsidR="0033720D">
        <w:rPr>
          <w:rFonts w:cstheme="minorHAnsi"/>
          <w:sz w:val="24"/>
          <w:szCs w:val="24"/>
        </w:rPr>
        <w:t>očekuje da će se</w:t>
      </w:r>
      <w:r w:rsidR="00B211E1">
        <w:rPr>
          <w:rFonts w:cstheme="minorHAnsi"/>
          <w:sz w:val="24"/>
          <w:szCs w:val="24"/>
        </w:rPr>
        <w:t xml:space="preserve"> naplatiti početkom 2022</w:t>
      </w:r>
      <w:r>
        <w:rPr>
          <w:rFonts w:cstheme="minorHAnsi"/>
          <w:sz w:val="24"/>
          <w:szCs w:val="24"/>
        </w:rPr>
        <w:t>.</w:t>
      </w:r>
      <w:r w:rsidR="00B211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godine.</w:t>
      </w:r>
      <w:r w:rsidR="00726FDD">
        <w:rPr>
          <w:rFonts w:cstheme="minorHAnsi"/>
          <w:sz w:val="24"/>
          <w:szCs w:val="24"/>
        </w:rPr>
        <w:t xml:space="preserve"> Škola poduzima sve radnje za naplatu potraživanja sukladno Proceduri praćenja i naplate potraživanja Prve gimnazije Varaždin.</w:t>
      </w:r>
    </w:p>
    <w:p w:rsidR="002B395F" w:rsidRDefault="002B395F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B395F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23</w:t>
      </w:r>
      <w:r w:rsidR="005C7872">
        <w:rPr>
          <w:rFonts w:cstheme="minorHAnsi"/>
          <w:b/>
          <w:sz w:val="24"/>
          <w:szCs w:val="24"/>
        </w:rPr>
        <w:t xml:space="preserve">. - </w:t>
      </w:r>
      <w:r w:rsidR="005D20A4">
        <w:rPr>
          <w:rFonts w:cstheme="minorHAnsi"/>
          <w:b/>
          <w:sz w:val="24"/>
          <w:szCs w:val="24"/>
        </w:rPr>
        <w:t>AOP 292</w:t>
      </w:r>
    </w:p>
    <w:p w:rsidR="002B395F" w:rsidRDefault="00F966DF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ovom </w:t>
      </w:r>
      <w:r w:rsidR="000B48E3">
        <w:rPr>
          <w:rFonts w:cstheme="minorHAnsi"/>
          <w:sz w:val="24"/>
          <w:szCs w:val="24"/>
        </w:rPr>
        <w:t>AOP-u iskazani su prihodi koje š</w:t>
      </w:r>
      <w:r w:rsidR="002B395F">
        <w:rPr>
          <w:rFonts w:cstheme="minorHAnsi"/>
          <w:sz w:val="24"/>
          <w:szCs w:val="24"/>
        </w:rPr>
        <w:t xml:space="preserve">kola </w:t>
      </w:r>
      <w:r>
        <w:rPr>
          <w:rFonts w:cstheme="minorHAnsi"/>
          <w:sz w:val="24"/>
          <w:szCs w:val="24"/>
        </w:rPr>
        <w:t>ostvaruje na ime otkupa stanova na kojima postoji stanarsko pravo.</w:t>
      </w:r>
    </w:p>
    <w:p w:rsidR="002B395F" w:rsidRDefault="002B395F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B395F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24</w:t>
      </w:r>
      <w:r w:rsidR="00BB6FC2">
        <w:rPr>
          <w:rFonts w:cstheme="minorHAnsi"/>
          <w:b/>
          <w:sz w:val="24"/>
          <w:szCs w:val="24"/>
        </w:rPr>
        <w:t>. - AOP 344</w:t>
      </w:r>
    </w:p>
    <w:p w:rsidR="002B395F" w:rsidRDefault="00BB6FC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svim stavkama rashoda za nabavu nefinancijsku imovinu rashodi su značajno manji u odnosu na prethodno izvještajno razdoblje, a r</w:t>
      </w:r>
      <w:r w:rsidR="004137BB">
        <w:rPr>
          <w:rFonts w:cstheme="minorHAnsi"/>
          <w:sz w:val="24"/>
          <w:szCs w:val="24"/>
        </w:rPr>
        <w:t xml:space="preserve">azlog </w:t>
      </w:r>
      <w:r>
        <w:rPr>
          <w:rFonts w:cstheme="minorHAnsi"/>
          <w:sz w:val="24"/>
          <w:szCs w:val="24"/>
        </w:rPr>
        <w:t xml:space="preserve">je </w:t>
      </w:r>
      <w:r w:rsidR="005B1502">
        <w:rPr>
          <w:rFonts w:cstheme="minorHAnsi"/>
          <w:sz w:val="24"/>
          <w:szCs w:val="24"/>
        </w:rPr>
        <w:t>nabava iz dodatno odobrenih</w:t>
      </w:r>
      <w:r w:rsidR="004137BB">
        <w:rPr>
          <w:rFonts w:cstheme="minorHAnsi"/>
          <w:sz w:val="24"/>
          <w:szCs w:val="24"/>
        </w:rPr>
        <w:t xml:space="preserve"> sredst</w:t>
      </w:r>
      <w:r w:rsidR="005B1502">
        <w:rPr>
          <w:rFonts w:cstheme="minorHAnsi"/>
          <w:sz w:val="24"/>
          <w:szCs w:val="24"/>
        </w:rPr>
        <w:t>a</w:t>
      </w:r>
      <w:r w:rsidR="004137BB">
        <w:rPr>
          <w:rFonts w:cstheme="minorHAnsi"/>
          <w:sz w:val="24"/>
          <w:szCs w:val="24"/>
        </w:rPr>
        <w:t>va Osnivača za opremanje kabineta uređaj</w:t>
      </w:r>
      <w:r w:rsidR="00F966DF">
        <w:rPr>
          <w:rFonts w:cstheme="minorHAnsi"/>
          <w:sz w:val="24"/>
          <w:szCs w:val="24"/>
        </w:rPr>
        <w:t>ima, opremom i namještajem te za</w:t>
      </w:r>
      <w:r w:rsidR="004137BB">
        <w:rPr>
          <w:rFonts w:cstheme="minorHAnsi"/>
          <w:sz w:val="24"/>
          <w:szCs w:val="24"/>
        </w:rPr>
        <w:t xml:space="preserve"> do</w:t>
      </w:r>
      <w:r w:rsidR="00DE5B5E">
        <w:rPr>
          <w:rFonts w:cstheme="minorHAnsi"/>
          <w:sz w:val="24"/>
          <w:szCs w:val="24"/>
        </w:rPr>
        <w:t>datna ulaganja na zgradi škole</w:t>
      </w:r>
      <w:r w:rsidR="005B15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tijekom </w:t>
      </w:r>
      <w:r w:rsidR="00854B54">
        <w:rPr>
          <w:rFonts w:cstheme="minorHAnsi"/>
          <w:sz w:val="24"/>
          <w:szCs w:val="24"/>
        </w:rPr>
        <w:t xml:space="preserve">prethodnog izvještajnog razdoblja. Od značajnijih ulaganja u tekućem izvještajnom razdoblju može se navesti dodatno ulaganja na zgradi škole (fasadni radovi) iskazano na AOP-u 397, iznos od 100.000 kn (prihodovna strana iskazana je na AOP-u 065, a  navedena sredstva su ostvarena od Ministarstva kulture i medija). </w:t>
      </w:r>
      <w:r>
        <w:rPr>
          <w:rFonts w:cstheme="minorHAnsi"/>
          <w:sz w:val="24"/>
          <w:szCs w:val="24"/>
        </w:rPr>
        <w:t xml:space="preserve"> </w:t>
      </w:r>
      <w:r w:rsidR="005B1502">
        <w:rPr>
          <w:rFonts w:cstheme="minorHAnsi"/>
          <w:sz w:val="24"/>
          <w:szCs w:val="24"/>
        </w:rPr>
        <w:t xml:space="preserve"> </w:t>
      </w:r>
    </w:p>
    <w:p w:rsidR="005B1502" w:rsidRDefault="005B150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B1502" w:rsidRPr="00871A32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25</w:t>
      </w:r>
      <w:r w:rsidR="002060F5">
        <w:rPr>
          <w:rFonts w:cstheme="minorHAnsi"/>
          <w:b/>
          <w:sz w:val="24"/>
          <w:szCs w:val="24"/>
        </w:rPr>
        <w:t xml:space="preserve">. - </w:t>
      </w:r>
      <w:r w:rsidR="002E1A6C">
        <w:rPr>
          <w:rFonts w:cstheme="minorHAnsi"/>
          <w:b/>
          <w:sz w:val="24"/>
          <w:szCs w:val="24"/>
        </w:rPr>
        <w:t>AOP 405</w:t>
      </w:r>
    </w:p>
    <w:p w:rsidR="005B1502" w:rsidRDefault="005B150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ovoj AOP oznaci </w:t>
      </w:r>
      <w:r w:rsidR="00871A32">
        <w:rPr>
          <w:rFonts w:cstheme="minorHAnsi"/>
          <w:sz w:val="24"/>
          <w:szCs w:val="24"/>
        </w:rPr>
        <w:t>iskazana su nenaplaćena pot</w:t>
      </w:r>
      <w:r w:rsidR="00F966DF">
        <w:rPr>
          <w:rFonts w:cstheme="minorHAnsi"/>
          <w:sz w:val="24"/>
          <w:szCs w:val="24"/>
        </w:rPr>
        <w:t>raživanja na ime otkupa stanova na kojima postoji stanarsko pravo.</w:t>
      </w:r>
    </w:p>
    <w:p w:rsidR="00871A32" w:rsidRDefault="00871A3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1A32" w:rsidRPr="00871A32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26</w:t>
      </w:r>
      <w:r w:rsidR="002E1A6C">
        <w:rPr>
          <w:rFonts w:cstheme="minorHAnsi"/>
          <w:b/>
          <w:sz w:val="24"/>
          <w:szCs w:val="24"/>
        </w:rPr>
        <w:t xml:space="preserve">. - </w:t>
      </w:r>
      <w:r w:rsidR="002879F2">
        <w:rPr>
          <w:rFonts w:cstheme="minorHAnsi"/>
          <w:b/>
          <w:sz w:val="24"/>
          <w:szCs w:val="24"/>
        </w:rPr>
        <w:t>AOP 635</w:t>
      </w:r>
    </w:p>
    <w:p w:rsidR="00C92DBF" w:rsidRDefault="00D62DA7" w:rsidP="00C92DB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razdoblju od 01.01.2021. do 31.12.2021</w:t>
      </w:r>
      <w:r w:rsidR="00871A32">
        <w:rPr>
          <w:rFonts w:cstheme="minorHAnsi"/>
          <w:sz w:val="24"/>
          <w:szCs w:val="24"/>
        </w:rPr>
        <w:t xml:space="preserve">. ostvaren je manjak prihoda i primitaka u iznosu od </w:t>
      </w:r>
      <w:r>
        <w:rPr>
          <w:rFonts w:cstheme="minorHAnsi"/>
          <w:sz w:val="24"/>
          <w:szCs w:val="24"/>
        </w:rPr>
        <w:t>275.835</w:t>
      </w:r>
      <w:r w:rsidR="00871A32">
        <w:rPr>
          <w:rFonts w:cstheme="minorHAnsi"/>
          <w:sz w:val="24"/>
          <w:szCs w:val="24"/>
        </w:rPr>
        <w:t xml:space="preserve"> kn. </w:t>
      </w:r>
      <w:r w:rsidR="00C92DBF">
        <w:rPr>
          <w:rFonts w:cstheme="minorHAnsi"/>
          <w:sz w:val="24"/>
          <w:szCs w:val="24"/>
        </w:rPr>
        <w:t>Od toga, iznos od 20.865 kn odnosi se na metodološki manjak na izvoru MZO za materijalna prava zaposlenih za prosinac 2021. godine te za pravomoćne sudske presude.</w:t>
      </w:r>
    </w:p>
    <w:p w:rsidR="00871A32" w:rsidRDefault="00871A3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62DA7" w:rsidRPr="00871A32" w:rsidRDefault="00D62DA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871A32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27</w:t>
      </w:r>
      <w:r w:rsidR="00D62DA7">
        <w:rPr>
          <w:rFonts w:cstheme="minorHAnsi"/>
          <w:b/>
          <w:sz w:val="24"/>
          <w:szCs w:val="24"/>
        </w:rPr>
        <w:t xml:space="preserve">. - </w:t>
      </w:r>
      <w:r w:rsidR="00B24246">
        <w:rPr>
          <w:rFonts w:cstheme="minorHAnsi"/>
          <w:b/>
          <w:sz w:val="24"/>
          <w:szCs w:val="24"/>
        </w:rPr>
        <w:t>AOP 639</w:t>
      </w:r>
    </w:p>
    <w:p w:rsidR="00871A32" w:rsidRDefault="00D62DA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Zajedno sa prenesenim manjkom prihoda i primitaka </w:t>
      </w:r>
      <w:r w:rsidR="00871A32">
        <w:rPr>
          <w:rFonts w:cstheme="minorHAnsi"/>
          <w:sz w:val="24"/>
          <w:szCs w:val="24"/>
        </w:rPr>
        <w:t xml:space="preserve">ostvaren je manjak prihoda i primitaka za pokriće u sljedećem razdoblju u iznosu od </w:t>
      </w:r>
      <w:r w:rsidR="00B55EFA">
        <w:rPr>
          <w:rFonts w:cstheme="minorHAnsi"/>
          <w:sz w:val="24"/>
          <w:szCs w:val="24"/>
        </w:rPr>
        <w:t>315.192</w:t>
      </w:r>
      <w:r w:rsidR="00871A32">
        <w:rPr>
          <w:rFonts w:cstheme="minorHAnsi"/>
          <w:sz w:val="24"/>
          <w:szCs w:val="24"/>
        </w:rPr>
        <w:t xml:space="preserve"> kn. </w:t>
      </w:r>
      <w:r w:rsidR="00B55EFA">
        <w:rPr>
          <w:rFonts w:cstheme="minorHAnsi"/>
          <w:sz w:val="24"/>
          <w:szCs w:val="24"/>
        </w:rPr>
        <w:t>D</w:t>
      </w:r>
      <w:r w:rsidR="005A414A">
        <w:rPr>
          <w:rFonts w:cstheme="minorHAnsi"/>
          <w:sz w:val="24"/>
          <w:szCs w:val="24"/>
        </w:rPr>
        <w:t>io ostvarenog manjka planir</w:t>
      </w:r>
      <w:r w:rsidR="00B55EFA">
        <w:rPr>
          <w:rFonts w:cstheme="minorHAnsi"/>
          <w:sz w:val="24"/>
          <w:szCs w:val="24"/>
        </w:rPr>
        <w:t>a se pokriti već u siječnju 2022</w:t>
      </w:r>
      <w:r w:rsidR="005A414A">
        <w:rPr>
          <w:rFonts w:cstheme="minorHAnsi"/>
          <w:sz w:val="24"/>
          <w:szCs w:val="24"/>
        </w:rPr>
        <w:t>. uplatama školarina od učenika (</w:t>
      </w:r>
      <w:r w:rsidR="00B55EFA">
        <w:rPr>
          <w:rFonts w:cstheme="minorHAnsi"/>
          <w:sz w:val="24"/>
          <w:szCs w:val="24"/>
        </w:rPr>
        <w:t>49.687 kn – AOP 290</w:t>
      </w:r>
      <w:r w:rsidR="005A414A">
        <w:rPr>
          <w:rFonts w:cstheme="minorHAnsi"/>
          <w:sz w:val="24"/>
          <w:szCs w:val="24"/>
        </w:rPr>
        <w:t>) te evidentiranjem prihoda od MZO za mate</w:t>
      </w:r>
      <w:r w:rsidR="00C92DBF">
        <w:rPr>
          <w:rFonts w:cstheme="minorHAnsi"/>
          <w:sz w:val="24"/>
          <w:szCs w:val="24"/>
        </w:rPr>
        <w:t>rijalne rashode za prosinac 2021</w:t>
      </w:r>
      <w:r w:rsidR="005A414A">
        <w:rPr>
          <w:rFonts w:cstheme="minorHAnsi"/>
          <w:sz w:val="24"/>
          <w:szCs w:val="24"/>
        </w:rPr>
        <w:t xml:space="preserve">. </w:t>
      </w:r>
      <w:r w:rsidR="00F966DF">
        <w:rPr>
          <w:rFonts w:cstheme="minorHAnsi"/>
          <w:sz w:val="24"/>
          <w:szCs w:val="24"/>
        </w:rPr>
        <w:t xml:space="preserve">godine </w:t>
      </w:r>
      <w:r w:rsidR="00C92DBF">
        <w:rPr>
          <w:rFonts w:cstheme="minorHAnsi"/>
          <w:sz w:val="24"/>
          <w:szCs w:val="24"/>
        </w:rPr>
        <w:t>te prihoda za pravomoćne sudske presude (20.865 kn).</w:t>
      </w:r>
    </w:p>
    <w:p w:rsid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E428E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28</w:t>
      </w:r>
      <w:r w:rsidR="004F289F">
        <w:rPr>
          <w:rFonts w:cstheme="minorHAnsi"/>
          <w:b/>
          <w:sz w:val="24"/>
          <w:szCs w:val="24"/>
        </w:rPr>
        <w:t xml:space="preserve">. - </w:t>
      </w:r>
      <w:r w:rsidR="009A0241">
        <w:rPr>
          <w:rFonts w:cstheme="minorHAnsi"/>
          <w:b/>
          <w:sz w:val="24"/>
          <w:szCs w:val="24"/>
        </w:rPr>
        <w:t>AOP 640</w:t>
      </w:r>
    </w:p>
    <w:p w:rsid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AOP oznaci iskazani su rashodi za plaće i naknade trošk</w:t>
      </w:r>
      <w:r w:rsidR="00991A5D">
        <w:rPr>
          <w:rFonts w:cstheme="minorHAnsi"/>
          <w:sz w:val="24"/>
          <w:szCs w:val="24"/>
        </w:rPr>
        <w:t>ova zaposlenima za prosinac 2021</w:t>
      </w:r>
      <w:r>
        <w:rPr>
          <w:rFonts w:cstheme="minorHAnsi"/>
          <w:sz w:val="24"/>
          <w:szCs w:val="24"/>
        </w:rPr>
        <w:t>. godine budući da se radi o tzv. trinaestom rashodu.</w:t>
      </w:r>
    </w:p>
    <w:p w:rsid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E428E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29</w:t>
      </w:r>
      <w:r w:rsidR="00226B79">
        <w:rPr>
          <w:rFonts w:cstheme="minorHAnsi"/>
          <w:b/>
          <w:sz w:val="24"/>
          <w:szCs w:val="24"/>
        </w:rPr>
        <w:t>. - AOP 644</w:t>
      </w:r>
    </w:p>
    <w:p w:rsid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Stanje novčanih sredstava na kraju izvještajnog razdoblja odgovara stanju sredstava na </w:t>
      </w:r>
      <w:r w:rsidR="00120B25">
        <w:rPr>
          <w:rFonts w:cstheme="minorHAnsi"/>
          <w:sz w:val="24"/>
          <w:szCs w:val="24"/>
        </w:rPr>
        <w:t>izvodima banke na dan 31.12.2021</w:t>
      </w:r>
      <w:r>
        <w:rPr>
          <w:rFonts w:cstheme="minorHAnsi"/>
          <w:sz w:val="24"/>
          <w:szCs w:val="24"/>
        </w:rPr>
        <w:t>. te s</w:t>
      </w:r>
      <w:r w:rsidR="00120B25">
        <w:rPr>
          <w:rFonts w:cstheme="minorHAnsi"/>
          <w:sz w:val="24"/>
          <w:szCs w:val="24"/>
        </w:rPr>
        <w:t>tanju blagajne na dan 31.12.2021</w:t>
      </w:r>
      <w:r>
        <w:rPr>
          <w:rFonts w:cstheme="minorHAnsi"/>
          <w:sz w:val="24"/>
          <w:szCs w:val="24"/>
        </w:rPr>
        <w:t>. godine.</w:t>
      </w:r>
    </w:p>
    <w:p w:rsid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56ADB" w:rsidRDefault="00D56ADB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B4845" w:rsidRPr="00D56ADB" w:rsidRDefault="004B4845" w:rsidP="00B211E1">
      <w:pPr>
        <w:spacing w:line="36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D56ADB">
        <w:rPr>
          <w:rFonts w:cstheme="minorHAnsi"/>
          <w:b/>
          <w:color w:val="002060"/>
          <w:sz w:val="32"/>
          <w:szCs w:val="32"/>
        </w:rPr>
        <w:t>BILJEŠKE UZ BILANCU</w:t>
      </w:r>
    </w:p>
    <w:p w:rsidR="004B4845" w:rsidRDefault="001C12E1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- </w:t>
      </w:r>
      <w:r w:rsidR="004B4845" w:rsidRPr="004B4845">
        <w:rPr>
          <w:rFonts w:cstheme="minorHAnsi"/>
          <w:b/>
          <w:sz w:val="24"/>
          <w:szCs w:val="24"/>
        </w:rPr>
        <w:t>AOP 002</w:t>
      </w:r>
    </w:p>
    <w:p w:rsidR="009A1EE2" w:rsidRDefault="004B4845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Vrijednost nefinancijske imovine </w:t>
      </w:r>
      <w:r w:rsidR="001C12E1">
        <w:rPr>
          <w:rFonts w:cstheme="minorHAnsi"/>
          <w:sz w:val="24"/>
          <w:szCs w:val="24"/>
        </w:rPr>
        <w:t>na dan 31.12.2021</w:t>
      </w:r>
      <w:r w:rsidR="009A1EE2">
        <w:rPr>
          <w:rFonts w:cstheme="minorHAnsi"/>
          <w:sz w:val="24"/>
          <w:szCs w:val="24"/>
        </w:rPr>
        <w:t xml:space="preserve">. iznosi </w:t>
      </w:r>
      <w:r w:rsidR="0009126F">
        <w:rPr>
          <w:rFonts w:cstheme="minorHAnsi"/>
          <w:sz w:val="24"/>
          <w:szCs w:val="24"/>
        </w:rPr>
        <w:t>3.895.257</w:t>
      </w:r>
      <w:r w:rsidR="009A1EE2">
        <w:rPr>
          <w:rFonts w:cstheme="minorHAnsi"/>
          <w:sz w:val="24"/>
          <w:szCs w:val="24"/>
        </w:rPr>
        <w:t xml:space="preserve"> kn. Indeks je </w:t>
      </w:r>
      <w:r w:rsidR="001C12E1">
        <w:rPr>
          <w:rFonts w:cstheme="minorHAnsi"/>
          <w:sz w:val="24"/>
          <w:szCs w:val="24"/>
        </w:rPr>
        <w:t>manji od 100 najvećim dijelom</w:t>
      </w:r>
      <w:r w:rsidR="009A1EE2">
        <w:rPr>
          <w:rFonts w:cstheme="minorHAnsi"/>
          <w:sz w:val="24"/>
          <w:szCs w:val="24"/>
        </w:rPr>
        <w:t xml:space="preserve"> zbog </w:t>
      </w:r>
      <w:r w:rsidR="001C12E1">
        <w:rPr>
          <w:rFonts w:cstheme="minorHAnsi"/>
          <w:sz w:val="24"/>
          <w:szCs w:val="24"/>
        </w:rPr>
        <w:t xml:space="preserve">amortizacije </w:t>
      </w:r>
      <w:r w:rsidR="009A1EE2">
        <w:rPr>
          <w:rFonts w:cstheme="minorHAnsi"/>
          <w:sz w:val="24"/>
          <w:szCs w:val="24"/>
        </w:rPr>
        <w:t xml:space="preserve">velikog </w:t>
      </w:r>
      <w:r w:rsidR="001C12E1">
        <w:rPr>
          <w:rFonts w:cstheme="minorHAnsi"/>
          <w:sz w:val="24"/>
          <w:szCs w:val="24"/>
        </w:rPr>
        <w:t>dijela</w:t>
      </w:r>
      <w:r w:rsidR="009A1EE2">
        <w:rPr>
          <w:rFonts w:cstheme="minorHAnsi"/>
          <w:sz w:val="24"/>
          <w:szCs w:val="24"/>
        </w:rPr>
        <w:t xml:space="preserve"> dodatnih ulaganja na zgradi škole te nabave dugotrajne imovine</w:t>
      </w:r>
      <w:r w:rsidR="00463272">
        <w:rPr>
          <w:rFonts w:cstheme="minorHAnsi"/>
          <w:sz w:val="24"/>
          <w:szCs w:val="24"/>
        </w:rPr>
        <w:t xml:space="preserve"> </w:t>
      </w:r>
      <w:r w:rsidR="0009126F">
        <w:rPr>
          <w:rFonts w:cstheme="minorHAnsi"/>
          <w:sz w:val="24"/>
          <w:szCs w:val="24"/>
        </w:rPr>
        <w:t xml:space="preserve">ostvarenih </w:t>
      </w:r>
      <w:r w:rsidR="001C12E1">
        <w:rPr>
          <w:rFonts w:cstheme="minorHAnsi"/>
          <w:sz w:val="24"/>
          <w:szCs w:val="24"/>
        </w:rPr>
        <w:t>krajem 2020</w:t>
      </w:r>
      <w:r w:rsidR="00463272">
        <w:rPr>
          <w:rFonts w:cstheme="minorHAnsi"/>
          <w:sz w:val="24"/>
          <w:szCs w:val="24"/>
        </w:rPr>
        <w:t>.</w:t>
      </w:r>
      <w:r w:rsidR="001C12E1">
        <w:rPr>
          <w:rFonts w:cstheme="minorHAnsi"/>
          <w:sz w:val="24"/>
          <w:szCs w:val="24"/>
        </w:rPr>
        <w:t xml:space="preserve"> godine (AOP 013 i AOP 023). </w:t>
      </w:r>
      <w:r w:rsidR="009A1EE2">
        <w:rPr>
          <w:rFonts w:cstheme="minorHAnsi"/>
          <w:sz w:val="24"/>
          <w:szCs w:val="24"/>
        </w:rPr>
        <w:t xml:space="preserve">Knjigovodstvena evidencija imovine usklađena je sa </w:t>
      </w:r>
      <w:r w:rsidR="00F21E61">
        <w:rPr>
          <w:rFonts w:cstheme="minorHAnsi"/>
          <w:sz w:val="24"/>
          <w:szCs w:val="24"/>
        </w:rPr>
        <w:t xml:space="preserve">analitičkim </w:t>
      </w:r>
      <w:r w:rsidR="009A1EE2">
        <w:rPr>
          <w:rFonts w:cstheme="minorHAnsi"/>
          <w:sz w:val="24"/>
          <w:szCs w:val="24"/>
        </w:rPr>
        <w:t>stanjem dugotrajne imovine.</w:t>
      </w:r>
    </w:p>
    <w:p w:rsidR="009A1EE2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A1EE2" w:rsidRDefault="000A273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2. - </w:t>
      </w:r>
      <w:r w:rsidR="009A1EE2" w:rsidRPr="009A1EE2">
        <w:rPr>
          <w:rFonts w:cstheme="minorHAnsi"/>
          <w:b/>
          <w:sz w:val="24"/>
          <w:szCs w:val="24"/>
        </w:rPr>
        <w:t>AOP 063</w:t>
      </w:r>
    </w:p>
    <w:p w:rsidR="000A2737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Indeks finan</w:t>
      </w:r>
      <w:r w:rsidR="000A2737">
        <w:rPr>
          <w:rFonts w:cstheme="minorHAnsi"/>
          <w:sz w:val="24"/>
          <w:szCs w:val="24"/>
        </w:rPr>
        <w:t>cijske imovine na dan 31.12.2021. iznosi 108</w:t>
      </w:r>
      <w:r>
        <w:rPr>
          <w:rFonts w:cstheme="minorHAnsi"/>
          <w:sz w:val="24"/>
          <w:szCs w:val="24"/>
        </w:rPr>
        <w:t xml:space="preserve">,5, a do </w:t>
      </w:r>
      <w:r w:rsidR="000A2737">
        <w:rPr>
          <w:rFonts w:cstheme="minorHAnsi"/>
          <w:sz w:val="24"/>
          <w:szCs w:val="24"/>
        </w:rPr>
        <w:t>povećanja je došlo uslijed većih potraživanja</w:t>
      </w:r>
      <w:r>
        <w:rPr>
          <w:rFonts w:cstheme="minorHAnsi"/>
          <w:sz w:val="24"/>
          <w:szCs w:val="24"/>
        </w:rPr>
        <w:t xml:space="preserve"> </w:t>
      </w:r>
      <w:r w:rsidR="000A2737">
        <w:rPr>
          <w:rFonts w:cstheme="minorHAnsi"/>
          <w:sz w:val="24"/>
          <w:szCs w:val="24"/>
        </w:rPr>
        <w:t>na AOP-u 081 i AOP-u 141.</w:t>
      </w:r>
    </w:p>
    <w:p w:rsidR="000A2737" w:rsidRDefault="000A2737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A1EE2" w:rsidRPr="000A2737" w:rsidRDefault="000A273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A2737">
        <w:rPr>
          <w:rFonts w:cstheme="minorHAnsi"/>
          <w:b/>
          <w:sz w:val="24"/>
          <w:szCs w:val="24"/>
        </w:rPr>
        <w:t xml:space="preserve">Bilješka 3. - </w:t>
      </w:r>
      <w:r w:rsidR="009A1EE2" w:rsidRPr="000A2737">
        <w:rPr>
          <w:rFonts w:cstheme="minorHAnsi"/>
          <w:b/>
          <w:sz w:val="24"/>
          <w:szCs w:val="24"/>
        </w:rPr>
        <w:t>AOP 081</w:t>
      </w:r>
    </w:p>
    <w:p w:rsidR="009A1EE2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 ovom AOP-u najveć</w:t>
      </w:r>
      <w:r w:rsidR="00BB39A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m dijelom iskazana su potraživanja za naknade koje se refundiraju (bolovanja na ter</w:t>
      </w:r>
      <w:r w:rsidR="00BB39AB">
        <w:rPr>
          <w:rFonts w:cstheme="minorHAnsi"/>
          <w:sz w:val="24"/>
          <w:szCs w:val="24"/>
        </w:rPr>
        <w:t xml:space="preserve">et HZZO-a), </w:t>
      </w:r>
      <w:r>
        <w:rPr>
          <w:rFonts w:cstheme="minorHAnsi"/>
          <w:sz w:val="24"/>
          <w:szCs w:val="24"/>
        </w:rPr>
        <w:t>a manjim dijelom potraživanja za predujmove te ostala nespomenuta potraživanja.</w:t>
      </w:r>
    </w:p>
    <w:p w:rsidR="009A1EE2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A1EE2" w:rsidRDefault="00BB39AB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4. - AOP 155</w:t>
      </w:r>
    </w:p>
    <w:p w:rsidR="009A1EE2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Iskazana su potraživanja za šk</w:t>
      </w:r>
      <w:r w:rsidR="00A01AD4">
        <w:rPr>
          <w:rFonts w:cstheme="minorHAnsi"/>
          <w:sz w:val="24"/>
          <w:szCs w:val="24"/>
        </w:rPr>
        <w:t>olarine</w:t>
      </w:r>
      <w:r w:rsidR="00D361D1">
        <w:rPr>
          <w:rFonts w:cstheme="minorHAnsi"/>
          <w:sz w:val="24"/>
          <w:szCs w:val="24"/>
        </w:rPr>
        <w:t xml:space="preserve"> učenika te zakupa prostora. Naplata potra</w:t>
      </w:r>
      <w:r w:rsidR="00BB39AB">
        <w:rPr>
          <w:rFonts w:cstheme="minorHAnsi"/>
          <w:sz w:val="24"/>
          <w:szCs w:val="24"/>
        </w:rPr>
        <w:t>živanja očekuje se početkom 2022</w:t>
      </w:r>
      <w:r w:rsidR="00D361D1">
        <w:rPr>
          <w:rFonts w:cstheme="minorHAnsi"/>
          <w:sz w:val="24"/>
          <w:szCs w:val="24"/>
        </w:rPr>
        <w:t>. godine.</w:t>
      </w:r>
    </w:p>
    <w:p w:rsidR="00D361D1" w:rsidRDefault="00D361D1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361D1" w:rsidRDefault="00B262F5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5. - </w:t>
      </w:r>
      <w:r w:rsidR="00A504C7">
        <w:rPr>
          <w:rFonts w:cstheme="minorHAnsi"/>
          <w:b/>
          <w:sz w:val="24"/>
          <w:szCs w:val="24"/>
        </w:rPr>
        <w:t>AOP 170</w:t>
      </w:r>
    </w:p>
    <w:p w:rsidR="00C81E05" w:rsidRDefault="00C81E05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Stanje ukupnih obveza u odnosu na stanje na kraju p</w:t>
      </w:r>
      <w:r w:rsidR="007A0347">
        <w:rPr>
          <w:rFonts w:cstheme="minorHAnsi"/>
          <w:sz w:val="24"/>
          <w:szCs w:val="24"/>
        </w:rPr>
        <w:t xml:space="preserve">rethodne godine veće je za 27,5 % te na dan 31.12.2021. iznosi 1.757.809 kn. Najveći dio obveza </w:t>
      </w:r>
      <w:r>
        <w:rPr>
          <w:rFonts w:cstheme="minorHAnsi"/>
          <w:sz w:val="24"/>
          <w:szCs w:val="24"/>
        </w:rPr>
        <w:t>odnosi se na obveze za zaposlene z</w:t>
      </w:r>
      <w:r w:rsidR="007A0347">
        <w:rPr>
          <w:rFonts w:cstheme="minorHAnsi"/>
          <w:sz w:val="24"/>
          <w:szCs w:val="24"/>
        </w:rPr>
        <w:t>a isplatu plaća za prosinac 2021</w:t>
      </w:r>
      <w:r>
        <w:rPr>
          <w:rFonts w:cstheme="minorHAnsi"/>
          <w:sz w:val="24"/>
          <w:szCs w:val="24"/>
        </w:rPr>
        <w:t xml:space="preserve">. godine, pri čemu se pak najveći dio odnosi na plaću i ostale rashode za zaposlene što </w:t>
      </w:r>
      <w:r w:rsidR="007A0347">
        <w:rPr>
          <w:rFonts w:cstheme="minorHAnsi"/>
          <w:sz w:val="24"/>
          <w:szCs w:val="24"/>
        </w:rPr>
        <w:t>se isplaćuje od strane MZO (1.171.285</w:t>
      </w:r>
      <w:r>
        <w:rPr>
          <w:rFonts w:cstheme="minorHAnsi"/>
          <w:sz w:val="24"/>
          <w:szCs w:val="24"/>
        </w:rPr>
        <w:t xml:space="preserve"> kn) te na obveze za materijalne rashode.</w:t>
      </w:r>
      <w:r w:rsidR="00F756B8">
        <w:rPr>
          <w:rFonts w:cstheme="minorHAnsi"/>
          <w:sz w:val="24"/>
          <w:szCs w:val="24"/>
        </w:rPr>
        <w:t xml:space="preserve"> Obveze za zaposlene (AOP 172) dospijevaju u siječnju 2022. godine. Najveći dio obveza iskazanih na dan 31.12.2021. su nedospjele (AOP 281, AOP 283), a manji dio su dospjele i podmirit će se početkom 2022. godine.</w:t>
      </w:r>
    </w:p>
    <w:p w:rsidR="00E4336B" w:rsidRPr="00C81E05" w:rsidRDefault="00E4336B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F756B8" w:rsidRDefault="00F756B8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6. - AOP 173</w:t>
      </w:r>
    </w:p>
    <w:p w:rsidR="00C81E05" w:rsidRDefault="00C81E05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stanju obveza za mate</w:t>
      </w:r>
      <w:r w:rsidR="00F756B8">
        <w:rPr>
          <w:rFonts w:cstheme="minorHAnsi"/>
          <w:sz w:val="24"/>
          <w:szCs w:val="24"/>
        </w:rPr>
        <w:t>rijalne obveze na dan 31.12.2021</w:t>
      </w:r>
      <w:r>
        <w:rPr>
          <w:rFonts w:cstheme="minorHAnsi"/>
          <w:sz w:val="24"/>
          <w:szCs w:val="24"/>
        </w:rPr>
        <w:t>. iskazane su obveze za režijske i ostale materijalne troškove</w:t>
      </w:r>
      <w:r w:rsidR="00F756B8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za</w:t>
      </w:r>
      <w:r w:rsidR="00F756B8">
        <w:rPr>
          <w:rFonts w:cstheme="minorHAnsi"/>
          <w:sz w:val="24"/>
          <w:szCs w:val="24"/>
        </w:rPr>
        <w:t xml:space="preserve"> prosinac 2021</w:t>
      </w:r>
      <w:r w:rsidR="00CB4AB4">
        <w:rPr>
          <w:rFonts w:cstheme="minorHAnsi"/>
          <w:sz w:val="24"/>
          <w:szCs w:val="24"/>
        </w:rPr>
        <w:t>. te za naknadu tro</w:t>
      </w:r>
      <w:r w:rsidR="00F756B8">
        <w:rPr>
          <w:rFonts w:cstheme="minorHAnsi"/>
          <w:sz w:val="24"/>
          <w:szCs w:val="24"/>
        </w:rPr>
        <w:t>škova prijevoza za prosinac 2021</w:t>
      </w:r>
      <w:r w:rsidR="00CB4AB4">
        <w:rPr>
          <w:rFonts w:cstheme="minorHAnsi"/>
          <w:sz w:val="24"/>
          <w:szCs w:val="24"/>
        </w:rPr>
        <w:t>. godine. Iste</w:t>
      </w:r>
      <w:r w:rsidR="007C57EC">
        <w:rPr>
          <w:rFonts w:cstheme="minorHAnsi"/>
          <w:sz w:val="24"/>
          <w:szCs w:val="24"/>
        </w:rPr>
        <w:t xml:space="preserve"> će se podmiriti u siječnju 2022</w:t>
      </w:r>
      <w:r w:rsidR="00CB4AB4">
        <w:rPr>
          <w:rFonts w:cstheme="minorHAnsi"/>
          <w:sz w:val="24"/>
          <w:szCs w:val="24"/>
        </w:rPr>
        <w:t>. godine.</w:t>
      </w:r>
    </w:p>
    <w:p w:rsidR="00E97FCF" w:rsidRDefault="00E97FCF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866D8" w:rsidRDefault="003866D8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866D8">
        <w:rPr>
          <w:rFonts w:cstheme="minorHAnsi"/>
          <w:b/>
          <w:sz w:val="24"/>
          <w:szCs w:val="24"/>
        </w:rPr>
        <w:t>Bilješka 7. – AOP 182</w:t>
      </w:r>
    </w:p>
    <w:p w:rsidR="003866D8" w:rsidRPr="003866D8" w:rsidRDefault="003866D8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Najveći dio obveza na ovom AOP-u odnosi se na obveze za bolovanja na teret HZZO-a, a manji dio na obvezu za uplatu u Državni proračun na ime dijela prihoda od otkupa stanova na kojima postoji stanarsko pravo te na ostale obveze.</w:t>
      </w:r>
    </w:p>
    <w:p w:rsidR="00CB4AB4" w:rsidRDefault="00CB4AB4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301A1" w:rsidRDefault="00B87A3C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8. - </w:t>
      </w:r>
      <w:r w:rsidR="00CB4AB4" w:rsidRPr="00266AAE">
        <w:rPr>
          <w:rFonts w:cstheme="minorHAnsi"/>
          <w:b/>
          <w:sz w:val="24"/>
          <w:szCs w:val="24"/>
        </w:rPr>
        <w:t>AOP 238 i AOP 242</w:t>
      </w:r>
      <w:r w:rsidR="00A311BE" w:rsidRPr="00266AAE">
        <w:rPr>
          <w:rFonts w:cstheme="minorHAnsi"/>
          <w:b/>
          <w:sz w:val="24"/>
          <w:szCs w:val="24"/>
        </w:rPr>
        <w:t xml:space="preserve"> </w:t>
      </w:r>
    </w:p>
    <w:p w:rsidR="00034337" w:rsidRDefault="001316E4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A01AD4">
        <w:rPr>
          <w:rFonts w:cstheme="minorHAnsi"/>
          <w:sz w:val="24"/>
          <w:szCs w:val="24"/>
        </w:rPr>
        <w:t>ajedno sa prenesenim rezultatom</w:t>
      </w:r>
      <w:r w:rsidR="000170A3">
        <w:rPr>
          <w:rFonts w:cstheme="minorHAnsi"/>
          <w:sz w:val="24"/>
          <w:szCs w:val="24"/>
        </w:rPr>
        <w:t xml:space="preserve"> iz prethodnog razdoblja</w:t>
      </w:r>
      <w:r w:rsidR="0042468B">
        <w:rPr>
          <w:rFonts w:cstheme="minorHAnsi"/>
          <w:sz w:val="24"/>
          <w:szCs w:val="24"/>
        </w:rPr>
        <w:t xml:space="preserve"> te nakon provedenih obveznih korekcija rezultata temeljem članka 82. Pravilnika o proračunskom računovodstvu i računskom planu proračuna, Prva gimnazija Varaždin u tekućem izvj</w:t>
      </w:r>
      <w:r w:rsidR="004F31F6">
        <w:rPr>
          <w:rFonts w:cstheme="minorHAnsi"/>
          <w:sz w:val="24"/>
          <w:szCs w:val="24"/>
        </w:rPr>
        <w:t>eštajnom razdoblju ostvarila je</w:t>
      </w:r>
      <w:r w:rsidR="00F301A1">
        <w:rPr>
          <w:rFonts w:cstheme="minorHAnsi"/>
          <w:sz w:val="24"/>
          <w:szCs w:val="24"/>
        </w:rPr>
        <w:t xml:space="preserve"> manjak</w:t>
      </w:r>
      <w:r w:rsidR="00435B5A">
        <w:rPr>
          <w:rFonts w:cstheme="minorHAnsi"/>
          <w:sz w:val="24"/>
          <w:szCs w:val="24"/>
        </w:rPr>
        <w:t xml:space="preserve"> prihoda poslovanja  u iznosu </w:t>
      </w:r>
      <w:r w:rsidR="00034337">
        <w:rPr>
          <w:rFonts w:cstheme="minorHAnsi"/>
          <w:sz w:val="24"/>
          <w:szCs w:val="24"/>
        </w:rPr>
        <w:t xml:space="preserve">od </w:t>
      </w:r>
      <w:r w:rsidR="00F301A1">
        <w:rPr>
          <w:rFonts w:cstheme="minorHAnsi"/>
          <w:sz w:val="24"/>
          <w:szCs w:val="24"/>
        </w:rPr>
        <w:t>279.849 kn (AOP-245</w:t>
      </w:r>
      <w:r w:rsidR="00034337">
        <w:rPr>
          <w:rFonts w:cstheme="minorHAnsi"/>
          <w:sz w:val="24"/>
          <w:szCs w:val="24"/>
        </w:rPr>
        <w:t>) te</w:t>
      </w:r>
      <w:r w:rsidR="00435B5A">
        <w:rPr>
          <w:rFonts w:cstheme="minorHAnsi"/>
          <w:sz w:val="24"/>
          <w:szCs w:val="24"/>
        </w:rPr>
        <w:t xml:space="preserve"> manjak prihoda od nefinancijske imovine</w:t>
      </w:r>
      <w:r w:rsidR="00034337">
        <w:rPr>
          <w:rFonts w:cstheme="minorHAnsi"/>
          <w:sz w:val="24"/>
          <w:szCs w:val="24"/>
        </w:rPr>
        <w:t xml:space="preserve"> u iznosu od </w:t>
      </w:r>
      <w:r w:rsidR="00F301A1">
        <w:rPr>
          <w:rFonts w:cstheme="minorHAnsi"/>
          <w:sz w:val="24"/>
          <w:szCs w:val="24"/>
        </w:rPr>
        <w:t>35.343</w:t>
      </w:r>
      <w:r w:rsidR="00034337">
        <w:rPr>
          <w:rFonts w:cstheme="minorHAnsi"/>
          <w:sz w:val="24"/>
          <w:szCs w:val="24"/>
        </w:rPr>
        <w:t xml:space="preserve"> kn</w:t>
      </w:r>
      <w:r w:rsidR="00F301A1">
        <w:rPr>
          <w:rFonts w:cstheme="minorHAnsi"/>
          <w:sz w:val="24"/>
          <w:szCs w:val="24"/>
        </w:rPr>
        <w:t xml:space="preserve"> (AOP-246</w:t>
      </w:r>
      <w:r w:rsidR="00435B5A">
        <w:rPr>
          <w:rFonts w:cstheme="minorHAnsi"/>
          <w:sz w:val="24"/>
          <w:szCs w:val="24"/>
        </w:rPr>
        <w:t xml:space="preserve">). </w:t>
      </w:r>
    </w:p>
    <w:p w:rsidR="007110A0" w:rsidRDefault="007110A0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A379D" w:rsidRPr="006C53C0" w:rsidRDefault="00F301A1" w:rsidP="00B211E1">
      <w:pPr>
        <w:spacing w:line="276" w:lineRule="auto"/>
        <w:jc w:val="both"/>
        <w:rPr>
          <w:rFonts w:cstheme="minorHAnsi"/>
          <w:i/>
          <w:sz w:val="24"/>
          <w:szCs w:val="24"/>
          <w:u w:val="single"/>
        </w:rPr>
      </w:pPr>
      <w:r w:rsidRPr="00EA0D92">
        <w:rPr>
          <w:rFonts w:cstheme="minorHAnsi"/>
          <w:i/>
          <w:sz w:val="24"/>
          <w:szCs w:val="24"/>
          <w:u w:val="single"/>
        </w:rPr>
        <w:lastRenderedPageBreak/>
        <w:t>Obrazloženje korekcije rezultata zbog kapitalnih prijenosa:</w:t>
      </w:r>
    </w:p>
    <w:tbl>
      <w:tblPr>
        <w:tblW w:w="6560" w:type="dxa"/>
        <w:tblLook w:val="04A0" w:firstRow="1" w:lastRow="0" w:firstColumn="1" w:lastColumn="0" w:noHBand="0" w:noVBand="1"/>
      </w:tblPr>
      <w:tblGrid>
        <w:gridCol w:w="941"/>
        <w:gridCol w:w="2289"/>
        <w:gridCol w:w="1250"/>
        <w:gridCol w:w="1061"/>
        <w:gridCol w:w="1019"/>
      </w:tblGrid>
      <w:tr w:rsidR="00867624" w:rsidRPr="00867624" w:rsidTr="00EA0D92">
        <w:trPr>
          <w:trHeight w:val="10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Pozicije na dan 31.12.2021.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PR-RAS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Korekcija - kapitalni prijenosi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BILANCA</w:t>
            </w:r>
          </w:p>
        </w:tc>
      </w:tr>
      <w:tr w:rsidR="00867624" w:rsidRPr="00867624" w:rsidTr="00EA0D92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Višak prihoda poslovanja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+16.215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-16.215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867624" w:rsidRPr="00867624" w:rsidTr="00EA0D92">
        <w:trPr>
          <w:trHeight w:val="6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Višak prihoda od nefinancijske imovine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F96D1A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-2425700</wp:posOffset>
                      </wp:positionH>
                      <wp:positionV relativeFrom="paragraph">
                        <wp:posOffset>27940</wp:posOffset>
                      </wp:positionV>
                      <wp:extent cx="2543175" cy="4229100"/>
                      <wp:effectExtent l="0" t="38100" r="47625" b="19050"/>
                      <wp:wrapNone/>
                      <wp:docPr id="7" name="Ravni poveznik sa strelico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3175" cy="422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A0C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7" o:spid="_x0000_s1026" type="#_x0000_t32" style="position:absolute;margin-left:-191pt;margin-top:2.2pt;width:200.25pt;height:33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867624"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867624" w:rsidRPr="00867624" w:rsidTr="00EA0D92">
        <w:trPr>
          <w:trHeight w:val="63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Višak primitaka od nefinancijske imovine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867624" w:rsidRPr="00867624" w:rsidTr="00EA0D92">
        <w:trPr>
          <w:trHeight w:val="5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92221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Manjak prihoda poslovanja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+279.849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-279.849</w:t>
            </w:r>
          </w:p>
        </w:tc>
      </w:tr>
      <w:tr w:rsidR="00867624" w:rsidRPr="00867624" w:rsidTr="00EA0D92">
        <w:trPr>
          <w:trHeight w:val="6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-331.407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+296.064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-35.343</w:t>
            </w:r>
          </w:p>
        </w:tc>
      </w:tr>
      <w:tr w:rsidR="00867624" w:rsidRPr="00867624" w:rsidTr="00EA0D92">
        <w:trPr>
          <w:trHeight w:val="6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24" w:rsidRPr="00867624" w:rsidRDefault="00F96D1A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-123825</wp:posOffset>
                      </wp:positionH>
                      <wp:positionV relativeFrom="paragraph">
                        <wp:posOffset>-429260</wp:posOffset>
                      </wp:positionV>
                      <wp:extent cx="2457450" cy="3067050"/>
                      <wp:effectExtent l="0" t="38100" r="57150" b="19050"/>
                      <wp:wrapNone/>
                      <wp:docPr id="6" name="Ravni poveznik sa strelic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7450" cy="3067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1C793" id="Ravni poveznik sa strelicom 6" o:spid="_x0000_s1026" type="#_x0000_t32" style="position:absolute;margin-left:-9.75pt;margin-top:-33.8pt;width:193.5pt;height:24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" strokecolor="#4472c4 [3204]" strokeweight=".5pt">
                      <v:stroke endarrow="block" joinstyle="miter"/>
                      <w10:wrap anchorx="page"/>
                    </v:shape>
                  </w:pict>
                </mc:Fallback>
              </mc:AlternateContent>
            </w:r>
            <w:r w:rsidR="00867624"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Manjak primitaka od financijske imovine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6A0793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EA1B9" wp14:editId="2EEEEB08">
                      <wp:simplePos x="0" y="0"/>
                      <wp:positionH relativeFrom="page">
                        <wp:posOffset>-1600200</wp:posOffset>
                      </wp:positionH>
                      <wp:positionV relativeFrom="paragraph">
                        <wp:posOffset>-19685</wp:posOffset>
                      </wp:positionV>
                      <wp:extent cx="2657475" cy="2657475"/>
                      <wp:effectExtent l="0" t="38100" r="47625" b="28575"/>
                      <wp:wrapNone/>
                      <wp:docPr id="1" name="Ravni poveznik sa strelic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7475" cy="2657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D71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" o:spid="_x0000_s1026" type="#_x0000_t32" style="position:absolute;margin-left:-126pt;margin-top:-1.55pt;width:209.25pt;height:209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" strokecolor="#4472c4 [3204]" strokeweight=".5pt">
                      <v:stroke endarrow="block" joinstyle="miter"/>
                      <w10:wrap anchorx="page"/>
                    </v:shape>
                  </w:pict>
                </mc:Fallback>
              </mc:AlternateContent>
            </w:r>
            <w:r w:rsidR="00867624"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67624" w:rsidRPr="00867624" w:rsidTr="00EA0D92">
        <w:trPr>
          <w:trHeight w:val="4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Višak/Manjak prihoda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-315.192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-315.192</w:t>
            </w:r>
          </w:p>
        </w:tc>
      </w:tr>
    </w:tbl>
    <w:p w:rsidR="009A379D" w:rsidRPr="00F301A1" w:rsidRDefault="009A379D" w:rsidP="00B211E1">
      <w:pPr>
        <w:spacing w:line="276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="00F301A1" w:rsidRDefault="00F301A1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Tijekom 2021. godine evidentir</w:t>
      </w:r>
      <w:r w:rsidR="000170A3">
        <w:rPr>
          <w:rFonts w:cstheme="minorHAnsi"/>
          <w:sz w:val="24"/>
          <w:szCs w:val="24"/>
        </w:rPr>
        <w:t>ana</w:t>
      </w:r>
      <w:r>
        <w:rPr>
          <w:rFonts w:cstheme="minorHAnsi"/>
          <w:sz w:val="24"/>
          <w:szCs w:val="24"/>
        </w:rPr>
        <w:t xml:space="preserve"> su </w:t>
      </w:r>
      <w:r w:rsidR="000170A3">
        <w:rPr>
          <w:rFonts w:cstheme="minorHAnsi"/>
          <w:sz w:val="24"/>
          <w:szCs w:val="24"/>
        </w:rPr>
        <w:t>na računima kapitalnih prijenosa sredstva u iznosu od 296.064 kn koja su utrošena za nabavu dugotrajne nefinancijske imovine:</w:t>
      </w:r>
    </w:p>
    <w:p w:rsidR="000170A3" w:rsidRDefault="000170A3" w:rsidP="000170A3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6362 (AOP 065 PR-RAS) – 108.400 kn</w:t>
      </w:r>
    </w:p>
    <w:p w:rsidR="000170A3" w:rsidRDefault="000170A3" w:rsidP="000170A3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6712 (AOP 131 PR-RAS) – 187.664 kn</w:t>
      </w:r>
    </w:p>
    <w:p w:rsidR="000170A3" w:rsidRDefault="004345F8" w:rsidP="000170A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579120</wp:posOffset>
                </wp:positionV>
                <wp:extent cx="742950" cy="40005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38F488" id="Elipsa 5" o:spid="_x0000_s1026" style="position:absolute;margin-left:-4.1pt;margin-top:45.6pt;width:58.5pt;height:31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0170A3">
        <w:rPr>
          <w:rFonts w:cstheme="minorHAnsi"/>
          <w:sz w:val="24"/>
          <w:szCs w:val="24"/>
        </w:rPr>
        <w:t>Provedena je korekc</w:t>
      </w:r>
      <w:r w:rsidR="00EA0D92">
        <w:rPr>
          <w:rFonts w:cstheme="minorHAnsi"/>
          <w:sz w:val="24"/>
          <w:szCs w:val="24"/>
        </w:rPr>
        <w:t xml:space="preserve">ija rezultata na način da se </w:t>
      </w:r>
      <w:r w:rsidR="007F340F">
        <w:rPr>
          <w:rFonts w:cstheme="minorHAnsi"/>
          <w:sz w:val="24"/>
          <w:szCs w:val="24"/>
        </w:rPr>
        <w:t xml:space="preserve">zadužuje </w:t>
      </w:r>
      <w:r w:rsidR="000170A3">
        <w:rPr>
          <w:rFonts w:cstheme="minorHAnsi"/>
          <w:sz w:val="24"/>
          <w:szCs w:val="24"/>
        </w:rPr>
        <w:t xml:space="preserve">račun </w:t>
      </w:r>
      <w:r w:rsidR="00B87A3C">
        <w:rPr>
          <w:rFonts w:cstheme="minorHAnsi"/>
          <w:sz w:val="24"/>
          <w:szCs w:val="24"/>
        </w:rPr>
        <w:t xml:space="preserve">viška </w:t>
      </w:r>
      <w:r w:rsidR="000170A3">
        <w:rPr>
          <w:rFonts w:cstheme="minorHAnsi"/>
          <w:sz w:val="24"/>
          <w:szCs w:val="24"/>
        </w:rPr>
        <w:t>prihoda poslovanja</w:t>
      </w:r>
      <w:r w:rsidR="002A6EA8">
        <w:rPr>
          <w:rFonts w:cstheme="minorHAnsi"/>
          <w:sz w:val="24"/>
          <w:szCs w:val="24"/>
        </w:rPr>
        <w:t xml:space="preserve"> (pri čemu dugovna strana viška prihoda poslovanja</w:t>
      </w:r>
      <w:r w:rsidR="00F96D1A">
        <w:rPr>
          <w:rFonts w:cstheme="minorHAnsi"/>
          <w:sz w:val="24"/>
          <w:szCs w:val="24"/>
        </w:rPr>
        <w:t xml:space="preserve"> nakon provedene korekcije</w:t>
      </w:r>
      <w:r w:rsidR="002A6EA8">
        <w:rPr>
          <w:rFonts w:cstheme="minorHAnsi"/>
          <w:sz w:val="24"/>
          <w:szCs w:val="24"/>
        </w:rPr>
        <w:t xml:space="preserve"> postaje manjak prihoda poslovanja)</w:t>
      </w:r>
      <w:r w:rsidR="000454CF">
        <w:rPr>
          <w:rFonts w:cstheme="minorHAnsi"/>
          <w:sz w:val="24"/>
          <w:szCs w:val="24"/>
        </w:rPr>
        <w:t xml:space="preserve">, </w:t>
      </w:r>
      <w:r w:rsidR="00586049">
        <w:rPr>
          <w:rFonts w:cstheme="minorHAnsi"/>
          <w:sz w:val="24"/>
          <w:szCs w:val="24"/>
        </w:rPr>
        <w:t>a odobrava</w:t>
      </w:r>
      <w:r w:rsidR="000170A3">
        <w:rPr>
          <w:rFonts w:cstheme="minorHAnsi"/>
          <w:sz w:val="24"/>
          <w:szCs w:val="24"/>
        </w:rPr>
        <w:t xml:space="preserve"> račun manjka p</w:t>
      </w:r>
      <w:r w:rsidR="000454CF">
        <w:rPr>
          <w:rFonts w:cstheme="minorHAnsi"/>
          <w:sz w:val="24"/>
          <w:szCs w:val="24"/>
        </w:rPr>
        <w:t>rihoda od nefinancijske imovine za iznos od 296.064 kn.</w:t>
      </w:r>
      <w:r w:rsidR="006A0793" w:rsidRPr="006A0793">
        <w:rPr>
          <w:rFonts w:ascii="Calibri" w:eastAsia="Times New Roman" w:hAnsi="Calibri" w:cs="Calibri"/>
          <w:b/>
          <w:bCs/>
          <w:noProof/>
          <w:color w:val="000000"/>
          <w:lang w:eastAsia="hr-HR"/>
        </w:rPr>
        <w:t xml:space="preserve"> </w:t>
      </w:r>
    </w:p>
    <w:p w:rsidR="00E4336B" w:rsidRPr="000170A3" w:rsidRDefault="00E4336B" w:rsidP="000170A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34337" w:rsidRPr="00034337" w:rsidRDefault="006C53C0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9. - </w:t>
      </w:r>
      <w:r w:rsidR="008A3694">
        <w:rPr>
          <w:rFonts w:cstheme="minorHAnsi"/>
          <w:b/>
          <w:sz w:val="24"/>
          <w:szCs w:val="24"/>
        </w:rPr>
        <w:t>AOP 254</w:t>
      </w:r>
    </w:p>
    <w:p w:rsidR="00AA1B82" w:rsidRDefault="0003433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proofErr w:type="spellStart"/>
      <w:r>
        <w:rPr>
          <w:rFonts w:cstheme="minorHAnsi"/>
          <w:sz w:val="24"/>
          <w:szCs w:val="24"/>
        </w:rPr>
        <w:t>izva</w:t>
      </w:r>
      <w:r w:rsidR="00F301A1">
        <w:rPr>
          <w:rFonts w:cstheme="minorHAnsi"/>
          <w:sz w:val="24"/>
          <w:szCs w:val="24"/>
        </w:rPr>
        <w:t>nbilančnim</w:t>
      </w:r>
      <w:proofErr w:type="spellEnd"/>
      <w:r w:rsidR="00F301A1">
        <w:rPr>
          <w:rFonts w:cstheme="minorHAnsi"/>
          <w:sz w:val="24"/>
          <w:szCs w:val="24"/>
        </w:rPr>
        <w:t xml:space="preserve"> zapisima evidentiran je</w:t>
      </w:r>
      <w:r>
        <w:rPr>
          <w:rFonts w:cstheme="minorHAnsi"/>
          <w:sz w:val="24"/>
          <w:szCs w:val="24"/>
        </w:rPr>
        <w:t xml:space="preserve"> procijenjeni iznos financijskog učinka sudskih postup</w:t>
      </w:r>
      <w:r w:rsidR="00A01AD4">
        <w:rPr>
          <w:rFonts w:cstheme="minorHAnsi"/>
          <w:sz w:val="24"/>
          <w:szCs w:val="24"/>
        </w:rPr>
        <w:t xml:space="preserve">aka u tijeku u iznosu od </w:t>
      </w:r>
      <w:r w:rsidR="006C53C0">
        <w:rPr>
          <w:rFonts w:cstheme="minorHAnsi"/>
          <w:sz w:val="24"/>
          <w:szCs w:val="24"/>
        </w:rPr>
        <w:t>70.426</w:t>
      </w:r>
      <w:r>
        <w:rPr>
          <w:rFonts w:cstheme="minorHAnsi"/>
          <w:sz w:val="24"/>
          <w:szCs w:val="24"/>
        </w:rPr>
        <w:t xml:space="preserve"> kn.</w:t>
      </w:r>
      <w:r w:rsidR="00822EFE">
        <w:rPr>
          <w:rFonts w:cstheme="minorHAnsi"/>
          <w:sz w:val="24"/>
          <w:szCs w:val="24"/>
        </w:rPr>
        <w:t xml:space="preserve"> Najvećim dijelom radi se o tužbama zaposlenika za isplatu razlike plaće zbog izostajanja povećanja osnovice plaće za tuženo razdoblje</w:t>
      </w:r>
      <w:r w:rsidR="006C53C0">
        <w:rPr>
          <w:rFonts w:cstheme="minorHAnsi"/>
          <w:sz w:val="24"/>
          <w:szCs w:val="24"/>
        </w:rPr>
        <w:t xml:space="preserve"> (12/15-01/17)</w:t>
      </w:r>
      <w:r w:rsidR="00822EFE">
        <w:rPr>
          <w:rFonts w:cstheme="minorHAnsi"/>
          <w:sz w:val="24"/>
          <w:szCs w:val="24"/>
        </w:rPr>
        <w:t>.</w:t>
      </w:r>
      <w:r w:rsidR="00AA1B82">
        <w:rPr>
          <w:rFonts w:cstheme="minorHAnsi"/>
          <w:sz w:val="24"/>
          <w:szCs w:val="24"/>
        </w:rPr>
        <w:t xml:space="preserve"> U nastavku je dana tablica</w:t>
      </w:r>
      <w:r w:rsidR="00443E72">
        <w:rPr>
          <w:rFonts w:cstheme="minorHAnsi"/>
          <w:sz w:val="24"/>
          <w:szCs w:val="24"/>
        </w:rPr>
        <w:t xml:space="preserve"> (Tablica 1)</w:t>
      </w:r>
      <w:r w:rsidR="00AA1B82">
        <w:rPr>
          <w:rFonts w:cstheme="minorHAnsi"/>
          <w:sz w:val="24"/>
          <w:szCs w:val="24"/>
        </w:rPr>
        <w:t xml:space="preserve"> sudskih sporova u tijeku prema članku 14. Pravilnika o financijskom izvještavanju u proračunskom računovodstvu (NN 3/15, 93/15, 135/15, 2/17, 28/17, 112/18, 126/19).</w:t>
      </w:r>
      <w:r w:rsidR="006C53C0">
        <w:rPr>
          <w:rFonts w:cstheme="minorHAnsi"/>
          <w:sz w:val="24"/>
          <w:szCs w:val="24"/>
        </w:rPr>
        <w:t xml:space="preserve"> </w:t>
      </w:r>
    </w:p>
    <w:p w:rsidR="006C53C0" w:rsidRDefault="006C53C0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Također, </w:t>
      </w:r>
      <w:proofErr w:type="spellStart"/>
      <w:r>
        <w:rPr>
          <w:rFonts w:cstheme="minorHAnsi"/>
          <w:sz w:val="24"/>
          <w:szCs w:val="24"/>
        </w:rPr>
        <w:t>izvanbilančno</w:t>
      </w:r>
      <w:proofErr w:type="spellEnd"/>
      <w:r>
        <w:rPr>
          <w:rFonts w:cstheme="minorHAnsi"/>
          <w:sz w:val="24"/>
          <w:szCs w:val="24"/>
        </w:rPr>
        <w:t xml:space="preserve"> se vodi i dana zadužnica na iznos od 300.000 kn kao instrument osiguranja plaćanja za kratkoročni okvirni kredit (dozvoljeno prekoračenje po transakcijskom računu). </w:t>
      </w:r>
      <w:r w:rsidR="00A6309D">
        <w:rPr>
          <w:rFonts w:cstheme="minorHAnsi"/>
          <w:sz w:val="24"/>
          <w:szCs w:val="24"/>
        </w:rPr>
        <w:t>U nastavku je dana i tablica</w:t>
      </w:r>
      <w:r w:rsidR="00443E72">
        <w:rPr>
          <w:rFonts w:cstheme="minorHAnsi"/>
          <w:sz w:val="24"/>
          <w:szCs w:val="24"/>
        </w:rPr>
        <w:t xml:space="preserve"> (Tablica 2.)</w:t>
      </w:r>
      <w:r w:rsidR="00A6309D">
        <w:rPr>
          <w:rFonts w:cstheme="minorHAnsi"/>
          <w:sz w:val="24"/>
          <w:szCs w:val="24"/>
        </w:rPr>
        <w:t xml:space="preserve"> danih zadužnica.</w:t>
      </w:r>
    </w:p>
    <w:p w:rsidR="00E4336B" w:rsidRDefault="00E4336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A1B82" w:rsidRPr="00442BAF" w:rsidRDefault="00443E72" w:rsidP="00B211E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42BAF">
        <w:rPr>
          <w:rFonts w:cstheme="minorHAnsi"/>
          <w:i/>
          <w:sz w:val="24"/>
          <w:szCs w:val="24"/>
        </w:rPr>
        <w:t>Tablica 1.</w:t>
      </w:r>
    </w:p>
    <w:p w:rsidR="00435B5A" w:rsidRDefault="0088252F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 w:rsidRPr="0088252F">
        <w:rPr>
          <w:noProof/>
          <w:lang w:eastAsia="hr-HR"/>
        </w:rPr>
        <w:drawing>
          <wp:inline distT="0" distB="0" distL="0" distR="0">
            <wp:extent cx="6184922" cy="2333625"/>
            <wp:effectExtent l="0" t="0" r="635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158" cy="233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1F" w:rsidRDefault="00276A1F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6A1F" w:rsidRPr="00442BAF" w:rsidRDefault="00443E72" w:rsidP="00B211E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42BAF">
        <w:rPr>
          <w:rFonts w:cstheme="minorHAnsi"/>
          <w:i/>
          <w:sz w:val="24"/>
          <w:szCs w:val="24"/>
        </w:rPr>
        <w:t>Tablica 2.</w:t>
      </w:r>
    </w:p>
    <w:p w:rsidR="00276A1F" w:rsidRDefault="0088252F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 w:rsidRPr="0088252F">
        <w:rPr>
          <w:noProof/>
          <w:lang w:eastAsia="hr-HR"/>
        </w:rPr>
        <w:drawing>
          <wp:inline distT="0" distB="0" distL="0" distR="0">
            <wp:extent cx="6194632" cy="13811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505" cy="13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1F" w:rsidRDefault="00276A1F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6A1F" w:rsidRDefault="00276A1F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56ADB" w:rsidRDefault="00D56ADB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1403" w:rsidRDefault="00CA1403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1403" w:rsidRDefault="00CA1403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1403" w:rsidRDefault="00CA1403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1403" w:rsidRDefault="00CA1403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1403" w:rsidRDefault="00CA1403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1403" w:rsidRDefault="00CA1403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859DE" w:rsidRDefault="007859DE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76A1F" w:rsidRPr="00D56ADB" w:rsidRDefault="008A5393" w:rsidP="00B211E1">
      <w:pPr>
        <w:spacing w:line="36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D56ADB">
        <w:rPr>
          <w:rFonts w:cstheme="minorHAnsi"/>
          <w:b/>
          <w:color w:val="002060"/>
          <w:sz w:val="32"/>
          <w:szCs w:val="32"/>
        </w:rPr>
        <w:lastRenderedPageBreak/>
        <w:t xml:space="preserve">BILJEŠKE UZ </w:t>
      </w:r>
      <w:r w:rsidR="00276A1F" w:rsidRPr="00D56ADB">
        <w:rPr>
          <w:rFonts w:cstheme="minorHAnsi"/>
          <w:b/>
          <w:color w:val="002060"/>
          <w:sz w:val="32"/>
          <w:szCs w:val="32"/>
        </w:rPr>
        <w:t>OBVEZE</w:t>
      </w:r>
    </w:p>
    <w:p w:rsidR="00276A1F" w:rsidRDefault="00CF2D5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F625C">
        <w:rPr>
          <w:rFonts w:cstheme="minorHAnsi"/>
          <w:b/>
          <w:sz w:val="24"/>
          <w:szCs w:val="24"/>
        </w:rPr>
        <w:t>Bilješka 1. - A</w:t>
      </w:r>
      <w:r w:rsidR="00276A1F" w:rsidRPr="00DF625C">
        <w:rPr>
          <w:rFonts w:cstheme="minorHAnsi"/>
          <w:b/>
          <w:sz w:val="24"/>
          <w:szCs w:val="24"/>
        </w:rPr>
        <w:t xml:space="preserve">OP </w:t>
      </w:r>
      <w:r w:rsidRPr="00DF625C">
        <w:rPr>
          <w:rFonts w:cstheme="minorHAnsi"/>
          <w:b/>
          <w:sz w:val="24"/>
          <w:szCs w:val="24"/>
        </w:rPr>
        <w:t>038</w:t>
      </w:r>
    </w:p>
    <w:p w:rsidR="00BD7502" w:rsidRDefault="006C05FB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Ukupne nepodmirene obveze na kraju izvještajnog razdoblja iznose 1.</w:t>
      </w:r>
      <w:r w:rsidR="00FC641F">
        <w:rPr>
          <w:rFonts w:cstheme="minorHAnsi"/>
          <w:sz w:val="24"/>
          <w:szCs w:val="24"/>
        </w:rPr>
        <w:t>757.809</w:t>
      </w:r>
      <w:r>
        <w:rPr>
          <w:rFonts w:cstheme="minorHAnsi"/>
          <w:sz w:val="24"/>
          <w:szCs w:val="24"/>
        </w:rPr>
        <w:t xml:space="preserve"> kn. Najvećim dijelom sadrže </w:t>
      </w:r>
      <w:r w:rsidR="00FC641F">
        <w:rPr>
          <w:rFonts w:cstheme="minorHAnsi"/>
          <w:sz w:val="24"/>
          <w:szCs w:val="24"/>
        </w:rPr>
        <w:t>obveze za zaposlene (plaće za prosinac 2021</w:t>
      </w:r>
      <w:r>
        <w:rPr>
          <w:rFonts w:cstheme="minorHAnsi"/>
          <w:sz w:val="24"/>
          <w:szCs w:val="24"/>
        </w:rPr>
        <w:t>. godine</w:t>
      </w:r>
      <w:r w:rsidR="00FC64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koje dospijevaju u siječ</w:t>
      </w:r>
      <w:r w:rsidR="00FC641F">
        <w:rPr>
          <w:rFonts w:cstheme="minorHAnsi"/>
          <w:sz w:val="24"/>
          <w:szCs w:val="24"/>
        </w:rPr>
        <w:t>nju 2022.</w:t>
      </w:r>
      <w:r w:rsidR="00496C58">
        <w:rPr>
          <w:rFonts w:cstheme="minorHAnsi"/>
          <w:sz w:val="24"/>
          <w:szCs w:val="24"/>
        </w:rPr>
        <w:t xml:space="preserve"> </w:t>
      </w:r>
      <w:r w:rsidR="00BD7502">
        <w:rPr>
          <w:rFonts w:cstheme="minorHAnsi"/>
          <w:sz w:val="24"/>
          <w:szCs w:val="24"/>
        </w:rPr>
        <w:t>dok se</w:t>
      </w:r>
      <w:r>
        <w:rPr>
          <w:rFonts w:cstheme="minorHAnsi"/>
          <w:sz w:val="24"/>
          <w:szCs w:val="24"/>
        </w:rPr>
        <w:t xml:space="preserve"> obveze za mat</w:t>
      </w:r>
      <w:r w:rsidR="00496C58">
        <w:rPr>
          <w:rFonts w:cstheme="minorHAnsi"/>
          <w:sz w:val="24"/>
          <w:szCs w:val="24"/>
        </w:rPr>
        <w:t xml:space="preserve">erijalne rashode poslovanja </w:t>
      </w:r>
      <w:r w:rsidR="00BD7502">
        <w:rPr>
          <w:rFonts w:cstheme="minorHAnsi"/>
          <w:sz w:val="24"/>
          <w:szCs w:val="24"/>
        </w:rPr>
        <w:t>odnose na naknade troškova zaposlenima</w:t>
      </w:r>
      <w:r w:rsidR="00186687">
        <w:rPr>
          <w:rFonts w:cstheme="minorHAnsi"/>
          <w:sz w:val="24"/>
          <w:szCs w:val="24"/>
        </w:rPr>
        <w:t xml:space="preserve"> </w:t>
      </w:r>
      <w:r w:rsidR="00FC641F">
        <w:rPr>
          <w:rFonts w:cstheme="minorHAnsi"/>
          <w:sz w:val="24"/>
          <w:szCs w:val="24"/>
        </w:rPr>
        <w:t>(prijevoz)</w:t>
      </w:r>
      <w:r w:rsidR="00BD7502">
        <w:rPr>
          <w:rFonts w:cstheme="minorHAnsi"/>
          <w:sz w:val="24"/>
          <w:szCs w:val="24"/>
        </w:rPr>
        <w:t xml:space="preserve"> te prvenstveno</w:t>
      </w:r>
      <w:r w:rsidR="00A01AD4">
        <w:rPr>
          <w:rFonts w:cstheme="minorHAnsi"/>
          <w:sz w:val="24"/>
          <w:szCs w:val="24"/>
        </w:rPr>
        <w:t xml:space="preserve"> na</w:t>
      </w:r>
      <w:r w:rsidR="00BD7502">
        <w:rPr>
          <w:rFonts w:cstheme="minorHAnsi"/>
          <w:sz w:val="24"/>
          <w:szCs w:val="24"/>
        </w:rPr>
        <w:t xml:space="preserve"> fakture za režijske i d</w:t>
      </w:r>
      <w:r w:rsidR="00FC641F">
        <w:rPr>
          <w:rFonts w:cstheme="minorHAnsi"/>
          <w:sz w:val="24"/>
          <w:szCs w:val="24"/>
        </w:rPr>
        <w:t>ruge troškove za prosinac 2021</w:t>
      </w:r>
      <w:r w:rsidR="00BD7502">
        <w:rPr>
          <w:rFonts w:cstheme="minorHAnsi"/>
          <w:sz w:val="24"/>
          <w:szCs w:val="24"/>
        </w:rPr>
        <w:t>. sa dosp</w:t>
      </w:r>
      <w:r w:rsidR="00FC641F">
        <w:rPr>
          <w:rFonts w:cstheme="minorHAnsi"/>
          <w:sz w:val="24"/>
          <w:szCs w:val="24"/>
        </w:rPr>
        <w:t>ijećem u siječnju i veljači 2022</w:t>
      </w:r>
      <w:r w:rsidR="00BD7502">
        <w:rPr>
          <w:rFonts w:cstheme="minorHAnsi"/>
          <w:sz w:val="24"/>
          <w:szCs w:val="24"/>
        </w:rPr>
        <w:t xml:space="preserve">. godine te iste zbog tehnike plaćanja </w:t>
      </w:r>
      <w:r w:rsidR="00496C58">
        <w:rPr>
          <w:rFonts w:cstheme="minorHAnsi"/>
          <w:sz w:val="24"/>
          <w:szCs w:val="24"/>
        </w:rPr>
        <w:t>nisu mogle biti podmirene u 2021</w:t>
      </w:r>
      <w:r w:rsidR="00BD7502">
        <w:rPr>
          <w:rFonts w:cstheme="minorHAnsi"/>
          <w:sz w:val="24"/>
          <w:szCs w:val="24"/>
        </w:rPr>
        <w:t>. godini</w:t>
      </w:r>
      <w:r w:rsidR="00FC641F">
        <w:rPr>
          <w:rFonts w:cstheme="minorHAnsi"/>
          <w:sz w:val="24"/>
          <w:szCs w:val="24"/>
        </w:rPr>
        <w:t>, već su podmirene početkom 2022</w:t>
      </w:r>
      <w:r w:rsidR="00BD7502">
        <w:rPr>
          <w:rFonts w:cstheme="minorHAnsi"/>
          <w:sz w:val="24"/>
          <w:szCs w:val="24"/>
        </w:rPr>
        <w:t xml:space="preserve">. godine. Na prometima međusobnih obveza proračunskih korisnika iskazane su obveze za bolovanja na teret HZZO-a i ostale obveze za povrat u proračun. Saldo međusobnih obveza na dan 31.12.2020. je </w:t>
      </w:r>
      <w:r w:rsidR="007859DE">
        <w:rPr>
          <w:rFonts w:cstheme="minorHAnsi"/>
          <w:sz w:val="24"/>
          <w:szCs w:val="24"/>
        </w:rPr>
        <w:t>62.197</w:t>
      </w:r>
      <w:r w:rsidR="008A5393">
        <w:rPr>
          <w:rFonts w:cstheme="minorHAnsi"/>
          <w:sz w:val="24"/>
          <w:szCs w:val="24"/>
        </w:rPr>
        <w:t xml:space="preserve"> kn</w:t>
      </w:r>
      <w:r w:rsidR="00BD7502">
        <w:rPr>
          <w:rFonts w:cstheme="minorHAnsi"/>
          <w:sz w:val="24"/>
          <w:szCs w:val="24"/>
        </w:rPr>
        <w:t>, a saldo obveza za nabavu nefinancijs</w:t>
      </w:r>
      <w:r w:rsidR="00496C58">
        <w:rPr>
          <w:rFonts w:cstheme="minorHAnsi"/>
          <w:sz w:val="24"/>
          <w:szCs w:val="24"/>
        </w:rPr>
        <w:t xml:space="preserve">ke imovine je </w:t>
      </w:r>
      <w:r w:rsidR="007859DE">
        <w:rPr>
          <w:rFonts w:cstheme="minorHAnsi"/>
          <w:sz w:val="24"/>
          <w:szCs w:val="24"/>
        </w:rPr>
        <w:t>14.483</w:t>
      </w:r>
      <w:r w:rsidR="00BD7502">
        <w:rPr>
          <w:rFonts w:cstheme="minorHAnsi"/>
          <w:sz w:val="24"/>
          <w:szCs w:val="24"/>
        </w:rPr>
        <w:t xml:space="preserve"> kn. Saldo ukupnih obveza najvećim dijelom odnosi se na nedospjele obveze.</w:t>
      </w:r>
    </w:p>
    <w:p w:rsidR="00BD7502" w:rsidRDefault="00BD750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D7502" w:rsidRDefault="0018668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2. </w:t>
      </w:r>
      <w:r w:rsidR="005C5EE7">
        <w:rPr>
          <w:rFonts w:cstheme="minorHAnsi"/>
          <w:b/>
          <w:sz w:val="24"/>
          <w:szCs w:val="24"/>
        </w:rPr>
        <w:t>AOP 039</w:t>
      </w:r>
    </w:p>
    <w:p w:rsidR="00BD7502" w:rsidRDefault="006D60F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Gotovo sve</w:t>
      </w:r>
      <w:r w:rsidR="00BD7502">
        <w:rPr>
          <w:rFonts w:cstheme="minorHAnsi"/>
          <w:sz w:val="24"/>
          <w:szCs w:val="24"/>
        </w:rPr>
        <w:t xml:space="preserve"> dospjele, a neplaćene obveze </w:t>
      </w:r>
      <w:r>
        <w:rPr>
          <w:rFonts w:cstheme="minorHAnsi"/>
          <w:sz w:val="24"/>
          <w:szCs w:val="24"/>
        </w:rPr>
        <w:t>na dan 31.12.2021</w:t>
      </w:r>
      <w:r w:rsidR="00BD750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su u prekoračenju od 1-60 dana (izuzev obveze po jednoj fakturi iz listopada). Najvećim dijelom </w:t>
      </w:r>
      <w:r w:rsidR="00BD7502">
        <w:rPr>
          <w:rFonts w:cstheme="minorHAnsi"/>
          <w:sz w:val="24"/>
          <w:szCs w:val="24"/>
        </w:rPr>
        <w:t>odnose se na obveze za materijalne rashode</w:t>
      </w:r>
      <w:r>
        <w:rPr>
          <w:rFonts w:cstheme="minorHAnsi"/>
          <w:sz w:val="24"/>
          <w:szCs w:val="24"/>
        </w:rPr>
        <w:t xml:space="preserve"> (izuzev iznosa od 158 kn koji se odnosi na obveze za financijske rashode)</w:t>
      </w:r>
      <w:r w:rsidR="00BD75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 će biti podmirene početkom 2022. godine.</w:t>
      </w:r>
    </w:p>
    <w:p w:rsidR="00CA1403" w:rsidRDefault="00CA1403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A1403" w:rsidRDefault="00CA1403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24EDB" w:rsidRPr="00D56ADB" w:rsidRDefault="00924EDB" w:rsidP="00B211E1">
      <w:pPr>
        <w:spacing w:line="36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D56ADB">
        <w:rPr>
          <w:rFonts w:cstheme="minorHAnsi"/>
          <w:b/>
          <w:color w:val="002060"/>
          <w:sz w:val="32"/>
          <w:szCs w:val="32"/>
        </w:rPr>
        <w:t>BILJEŠKE UZ</w:t>
      </w:r>
      <w:r w:rsidR="008A5393" w:rsidRPr="00D56ADB">
        <w:rPr>
          <w:rFonts w:cstheme="minorHAnsi"/>
          <w:b/>
          <w:color w:val="002060"/>
          <w:sz w:val="32"/>
          <w:szCs w:val="32"/>
        </w:rPr>
        <w:t xml:space="preserve"> OBRAZAC RAS-Funkcijski</w:t>
      </w:r>
    </w:p>
    <w:p w:rsidR="00924EDB" w:rsidRDefault="0018668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- </w:t>
      </w:r>
      <w:r w:rsidR="00924EDB" w:rsidRPr="00924EDB">
        <w:rPr>
          <w:rFonts w:cstheme="minorHAnsi"/>
          <w:b/>
          <w:sz w:val="24"/>
          <w:szCs w:val="24"/>
        </w:rPr>
        <w:t>AOP 110</w:t>
      </w:r>
    </w:p>
    <w:p w:rsidR="00693183" w:rsidRDefault="00693183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ukupnih rashoda prema funkciji za više sr</w:t>
      </w:r>
      <w:r w:rsidR="00186687">
        <w:rPr>
          <w:rFonts w:cstheme="minorHAnsi"/>
          <w:sz w:val="24"/>
          <w:szCs w:val="24"/>
        </w:rPr>
        <w:t>ednjoškolsko obrazovanje za 2021</w:t>
      </w:r>
      <w:r>
        <w:rPr>
          <w:rFonts w:cstheme="minorHAnsi"/>
          <w:sz w:val="24"/>
          <w:szCs w:val="24"/>
        </w:rPr>
        <w:t>. ostv</w:t>
      </w:r>
      <w:r w:rsidR="00186687">
        <w:rPr>
          <w:rFonts w:cstheme="minorHAnsi"/>
          <w:sz w:val="24"/>
          <w:szCs w:val="24"/>
        </w:rPr>
        <w:t>arenih u razdoblju od 01.01.2021. do 31.12.2021</w:t>
      </w:r>
      <w:r>
        <w:rPr>
          <w:rFonts w:cstheme="minorHAnsi"/>
          <w:sz w:val="24"/>
          <w:szCs w:val="24"/>
        </w:rPr>
        <w:t>. go</w:t>
      </w:r>
      <w:r w:rsidR="00186687">
        <w:rPr>
          <w:rFonts w:cstheme="minorHAnsi"/>
          <w:sz w:val="24"/>
          <w:szCs w:val="24"/>
        </w:rPr>
        <w:t>dine, izdvojen je iznos od 1.190</w:t>
      </w:r>
      <w:r>
        <w:rPr>
          <w:rFonts w:cstheme="minorHAnsi"/>
          <w:sz w:val="24"/>
          <w:szCs w:val="24"/>
        </w:rPr>
        <w:t xml:space="preserve"> kn iskazan na AOP-u 125, a odnosi se na sufinanciranje prehrane za učenike slabijeg socijalnog statusa.</w:t>
      </w:r>
    </w:p>
    <w:p w:rsidR="00693183" w:rsidRPr="00D56ADB" w:rsidRDefault="00693183" w:rsidP="00D56ADB">
      <w:pPr>
        <w:spacing w:line="360" w:lineRule="auto"/>
        <w:jc w:val="both"/>
        <w:rPr>
          <w:rFonts w:cstheme="minorHAnsi"/>
          <w:b/>
          <w:color w:val="002060"/>
          <w:sz w:val="32"/>
          <w:szCs w:val="32"/>
        </w:rPr>
      </w:pPr>
    </w:p>
    <w:p w:rsidR="00693183" w:rsidRPr="00D56ADB" w:rsidRDefault="00693183" w:rsidP="00B211E1">
      <w:pPr>
        <w:spacing w:line="36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D56ADB">
        <w:rPr>
          <w:rFonts w:cstheme="minorHAnsi"/>
          <w:b/>
          <w:color w:val="002060"/>
          <w:sz w:val="32"/>
          <w:szCs w:val="32"/>
        </w:rPr>
        <w:t>BILJEŠKE UZ OBRAZAC P-VRIO</w:t>
      </w:r>
    </w:p>
    <w:p w:rsidR="00693183" w:rsidRDefault="00B765A1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765A1">
        <w:rPr>
          <w:rFonts w:cstheme="minorHAnsi"/>
          <w:b/>
          <w:sz w:val="24"/>
          <w:szCs w:val="24"/>
        </w:rPr>
        <w:t>Bilješka 1. – AOP 021</w:t>
      </w:r>
    </w:p>
    <w:p w:rsidR="00B765A1" w:rsidRPr="00B765A1" w:rsidRDefault="00B765A1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Iznos evidentiran na ovoj stavci odnosi se na prijenos (donaciju) nekoliko knjiga od strane Osnivača.</w:t>
      </w:r>
    </w:p>
    <w:p w:rsidR="00693183" w:rsidRDefault="00693183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93183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Prva gimnazija Varaždin, osim okvirnog kr</w:t>
      </w:r>
      <w:r w:rsidR="00F44FE5">
        <w:rPr>
          <w:rFonts w:cstheme="minorHAnsi"/>
          <w:sz w:val="24"/>
          <w:szCs w:val="24"/>
        </w:rPr>
        <w:t>atkoročnog kredita u iznosu od 3</w:t>
      </w:r>
      <w:r>
        <w:rPr>
          <w:rFonts w:cstheme="minorHAnsi"/>
          <w:sz w:val="24"/>
          <w:szCs w:val="24"/>
        </w:rPr>
        <w:t>00.</w:t>
      </w:r>
      <w:r w:rsidR="00F44FE5">
        <w:rPr>
          <w:rFonts w:cstheme="minorHAnsi"/>
          <w:sz w:val="24"/>
          <w:szCs w:val="24"/>
        </w:rPr>
        <w:t>000,00 kn koji na dan 31.12.2021</w:t>
      </w:r>
      <w:r>
        <w:rPr>
          <w:rFonts w:cstheme="minorHAnsi"/>
          <w:sz w:val="24"/>
          <w:szCs w:val="24"/>
        </w:rPr>
        <w:t>. nije bio</w:t>
      </w:r>
      <w:r w:rsidR="00F44FE5">
        <w:rPr>
          <w:rFonts w:cstheme="minorHAnsi"/>
          <w:sz w:val="24"/>
          <w:szCs w:val="24"/>
        </w:rPr>
        <w:t xml:space="preserve"> u korištenju, na dan 31.12.2021</w:t>
      </w:r>
      <w:r>
        <w:rPr>
          <w:rFonts w:cstheme="minorHAnsi"/>
          <w:sz w:val="24"/>
          <w:szCs w:val="24"/>
        </w:rPr>
        <w:t xml:space="preserve">. ima sudske sporove u tijeku čiji se financijski učinak procjenjuje na </w:t>
      </w:r>
      <w:r w:rsidR="00CE27DF">
        <w:rPr>
          <w:rFonts w:cstheme="minorHAnsi"/>
          <w:sz w:val="24"/>
          <w:szCs w:val="24"/>
        </w:rPr>
        <w:t>70.425,75</w:t>
      </w:r>
      <w:r w:rsidR="00A01AD4">
        <w:rPr>
          <w:rFonts w:cstheme="minorHAnsi"/>
          <w:sz w:val="24"/>
          <w:szCs w:val="24"/>
        </w:rPr>
        <w:t xml:space="preserve"> k</w:t>
      </w:r>
      <w:r w:rsidR="00D56ADB">
        <w:rPr>
          <w:rFonts w:cstheme="minorHAnsi"/>
          <w:sz w:val="24"/>
          <w:szCs w:val="24"/>
        </w:rPr>
        <w:t xml:space="preserve">n, a </w:t>
      </w:r>
      <w:r w:rsidR="00A01AD4">
        <w:rPr>
          <w:rFonts w:cstheme="minorHAnsi"/>
          <w:sz w:val="24"/>
          <w:szCs w:val="24"/>
        </w:rPr>
        <w:t xml:space="preserve">što je iskazano u </w:t>
      </w:r>
      <w:r w:rsidR="00CE27DF" w:rsidRPr="00CE27DF">
        <w:rPr>
          <w:rFonts w:cstheme="minorHAnsi"/>
          <w:i/>
          <w:sz w:val="24"/>
          <w:szCs w:val="24"/>
        </w:rPr>
        <w:t>Tablici 1.</w:t>
      </w:r>
      <w:r w:rsidR="00A01AD4" w:rsidRPr="00CE27DF">
        <w:rPr>
          <w:rFonts w:cstheme="minorHAnsi"/>
          <w:i/>
          <w:sz w:val="24"/>
          <w:szCs w:val="24"/>
        </w:rPr>
        <w:t xml:space="preserve"> </w:t>
      </w:r>
      <w:r w:rsidR="00A01AD4">
        <w:rPr>
          <w:rFonts w:cstheme="minorHAnsi"/>
          <w:sz w:val="24"/>
          <w:szCs w:val="24"/>
        </w:rPr>
        <w:t>u sklopu Bilješki uz Bilancu.</w:t>
      </w:r>
      <w:r>
        <w:rPr>
          <w:rFonts w:cstheme="minorHAnsi"/>
          <w:sz w:val="24"/>
          <w:szCs w:val="24"/>
        </w:rPr>
        <w:t xml:space="preserve"> </w:t>
      </w:r>
      <w:r w:rsidR="00CE27DF">
        <w:rPr>
          <w:rFonts w:cstheme="minorHAnsi"/>
          <w:sz w:val="24"/>
          <w:szCs w:val="24"/>
        </w:rPr>
        <w:t xml:space="preserve">Vezano uz spomenuti okvirni kratkoročni kredit po transakcijskom računu , a u smislu </w:t>
      </w:r>
      <w:r>
        <w:rPr>
          <w:rFonts w:cstheme="minorHAnsi"/>
          <w:sz w:val="24"/>
          <w:szCs w:val="24"/>
        </w:rPr>
        <w:t xml:space="preserve">ugovornih odnosa koji uz ispunjenje određenih uvjeta </w:t>
      </w:r>
      <w:r w:rsidR="00CE27DF">
        <w:rPr>
          <w:rFonts w:cstheme="minorHAnsi"/>
          <w:sz w:val="24"/>
          <w:szCs w:val="24"/>
        </w:rPr>
        <w:t xml:space="preserve">mogu postati obveza Prva gimnazija dala je Zagrebačkoj banci d.d. bjanko zadužnicu kao instrument osiguranja plaćanja što je </w:t>
      </w:r>
      <w:r w:rsidR="00D56ADB">
        <w:rPr>
          <w:rFonts w:cstheme="minorHAnsi"/>
          <w:sz w:val="24"/>
          <w:szCs w:val="24"/>
        </w:rPr>
        <w:t xml:space="preserve">također iskazano u sklopu Bilješki uz bilancu </w:t>
      </w:r>
      <w:r w:rsidR="00CE27DF">
        <w:rPr>
          <w:rFonts w:cstheme="minorHAnsi"/>
          <w:sz w:val="24"/>
          <w:szCs w:val="24"/>
        </w:rPr>
        <w:t xml:space="preserve">u </w:t>
      </w:r>
      <w:r w:rsidR="00CE27DF" w:rsidRPr="00CE27DF">
        <w:rPr>
          <w:rFonts w:cstheme="minorHAnsi"/>
          <w:i/>
          <w:sz w:val="24"/>
          <w:szCs w:val="24"/>
        </w:rPr>
        <w:t>Tablici 2.</w:t>
      </w:r>
      <w:r w:rsidR="00CE27DF">
        <w:rPr>
          <w:rFonts w:cstheme="minorHAnsi"/>
          <w:sz w:val="24"/>
          <w:szCs w:val="24"/>
        </w:rPr>
        <w:t xml:space="preserve"> </w:t>
      </w: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Bilješke uz financijske izvještaje čine sastavni dio financijskih izvještaja te služe kao dodatni izvor podataka, a sastavljene su temeljem članka 12. Pravilnika o financijskom izvještavanju u proračunskom računovodstvu (NN 3/15, 93/15, 135/15</w:t>
      </w:r>
      <w:r w:rsidR="004D71C8">
        <w:rPr>
          <w:rFonts w:cstheme="minorHAnsi"/>
          <w:sz w:val="24"/>
          <w:szCs w:val="24"/>
        </w:rPr>
        <w:t>, 2/17, 28/17, 112/18, 126/19</w:t>
      </w:r>
      <w:r>
        <w:rPr>
          <w:rFonts w:cstheme="minorHAnsi"/>
          <w:sz w:val="24"/>
          <w:szCs w:val="24"/>
        </w:rPr>
        <w:t>).</w:t>
      </w: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01C9E" w:rsidRDefault="002075F8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Varaždinu, 28</w:t>
      </w:r>
      <w:r w:rsidR="00A936C7">
        <w:rPr>
          <w:rFonts w:cstheme="minorHAnsi"/>
          <w:sz w:val="24"/>
          <w:szCs w:val="24"/>
        </w:rPr>
        <w:t>.01.2022</w:t>
      </w:r>
      <w:r w:rsidR="00101C9E">
        <w:rPr>
          <w:rFonts w:cstheme="minorHAnsi"/>
          <w:sz w:val="24"/>
          <w:szCs w:val="24"/>
        </w:rPr>
        <w:t>. godine</w:t>
      </w:r>
    </w:p>
    <w:p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za kontaktiranje : Laura Kočila Kašmo</w:t>
      </w:r>
    </w:p>
    <w:p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za kontakt: +385954200404</w:t>
      </w:r>
    </w:p>
    <w:p w:rsidR="00C217A4" w:rsidRDefault="00C217A4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za kontakt: </w:t>
      </w:r>
      <w:hyperlink r:id="rId7" w:history="1">
        <w:r w:rsidRPr="007571E5">
          <w:rPr>
            <w:rStyle w:val="Hiperveza"/>
            <w:rFonts w:cstheme="minorHAnsi"/>
            <w:sz w:val="24"/>
            <w:szCs w:val="24"/>
          </w:rPr>
          <w:t>racunovodstvo@gimnazija-varazdin.skole.hr</w:t>
        </w:r>
      </w:hyperlink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412B8" w:rsidRDefault="005412B8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412B8" w:rsidRDefault="005412B8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71C40" w:rsidRDefault="00A71C40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71C40" w:rsidRDefault="00A71C40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71C40" w:rsidRDefault="00A71C40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412B8" w:rsidRDefault="005412B8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412B8" w:rsidRDefault="005412B8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računovodstva: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462DE">
        <w:rPr>
          <w:rFonts w:cstheme="minorHAnsi"/>
          <w:sz w:val="24"/>
          <w:szCs w:val="24"/>
        </w:rPr>
        <w:t>M.P.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Ravnateljica:</w:t>
      </w: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Laura Kočila Kašmo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Janja Banić, dipl.inf.</w:t>
      </w: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:rsidR="00101C9E" w:rsidRPr="00693183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24EDB" w:rsidRPr="00924EDB" w:rsidRDefault="00924ED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24EDB" w:rsidRPr="00924EDB" w:rsidRDefault="00924EDB" w:rsidP="00B211E1">
      <w:pPr>
        <w:spacing w:line="360" w:lineRule="auto"/>
        <w:jc w:val="both"/>
        <w:rPr>
          <w:rFonts w:cstheme="minorHAnsi"/>
          <w:b/>
          <w:color w:val="002060"/>
          <w:sz w:val="26"/>
          <w:szCs w:val="26"/>
        </w:rPr>
      </w:pPr>
    </w:p>
    <w:p w:rsidR="00BD7502" w:rsidRDefault="00BD750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5393" w:rsidRPr="00BD7502" w:rsidRDefault="008A5393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22EFE" w:rsidRPr="001316E4" w:rsidRDefault="00822EF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B4AB4" w:rsidRPr="00CB4AB4" w:rsidRDefault="00CB4AB4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B4AB4" w:rsidRPr="00C81E05" w:rsidRDefault="00CB4AB4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E428E" w:rsidRP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A414A" w:rsidRPr="00871A32" w:rsidRDefault="005A414A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212CB" w:rsidRPr="003212C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212CB" w:rsidRPr="003212C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037CD" w:rsidRPr="00647F4B" w:rsidRDefault="001037CD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D5E39" w:rsidRPr="00AD5E39" w:rsidRDefault="00AD5E39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AD5E39" w:rsidRPr="00AD5E39" w:rsidRDefault="00AD5E39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974A4" w:rsidRPr="00D974A4" w:rsidRDefault="00D974A4" w:rsidP="00B211E1">
      <w:pPr>
        <w:spacing w:line="276" w:lineRule="auto"/>
        <w:jc w:val="both"/>
        <w:rPr>
          <w:rFonts w:cstheme="minorHAnsi"/>
          <w:b/>
          <w:color w:val="002060"/>
          <w:sz w:val="26"/>
          <w:szCs w:val="26"/>
        </w:rPr>
      </w:pPr>
    </w:p>
    <w:p w:rsidR="00D974A4" w:rsidRPr="00D974A4" w:rsidRDefault="00D974A4" w:rsidP="00B211E1">
      <w:pPr>
        <w:spacing w:line="276" w:lineRule="auto"/>
        <w:jc w:val="both"/>
        <w:rPr>
          <w:rFonts w:cstheme="minorHAnsi"/>
          <w:b/>
          <w:color w:val="002060"/>
          <w:sz w:val="28"/>
          <w:szCs w:val="28"/>
        </w:rPr>
      </w:pPr>
    </w:p>
    <w:sectPr w:rsidR="00D974A4" w:rsidRPr="00D9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F9B"/>
    <w:multiLevelType w:val="hybridMultilevel"/>
    <w:tmpl w:val="4B267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4E"/>
    <w:rsid w:val="000110F7"/>
    <w:rsid w:val="000170A3"/>
    <w:rsid w:val="00034337"/>
    <w:rsid w:val="00037505"/>
    <w:rsid w:val="00037F82"/>
    <w:rsid w:val="000454CF"/>
    <w:rsid w:val="000775EB"/>
    <w:rsid w:val="0009126F"/>
    <w:rsid w:val="00092E07"/>
    <w:rsid w:val="00092EE3"/>
    <w:rsid w:val="000A2737"/>
    <w:rsid w:val="000B48E3"/>
    <w:rsid w:val="000D684E"/>
    <w:rsid w:val="000E4526"/>
    <w:rsid w:val="00101C9E"/>
    <w:rsid w:val="001037CD"/>
    <w:rsid w:val="00120B25"/>
    <w:rsid w:val="001316E4"/>
    <w:rsid w:val="001424B2"/>
    <w:rsid w:val="00186687"/>
    <w:rsid w:val="001911B9"/>
    <w:rsid w:val="001B0885"/>
    <w:rsid w:val="001C096A"/>
    <w:rsid w:val="001C12E1"/>
    <w:rsid w:val="002060F5"/>
    <w:rsid w:val="002075F8"/>
    <w:rsid w:val="00226B79"/>
    <w:rsid w:val="00266AAE"/>
    <w:rsid w:val="00276A1F"/>
    <w:rsid w:val="002879F2"/>
    <w:rsid w:val="002A02B3"/>
    <w:rsid w:val="002A6EA8"/>
    <w:rsid w:val="002B395F"/>
    <w:rsid w:val="002B6119"/>
    <w:rsid w:val="002E1A6C"/>
    <w:rsid w:val="0030061D"/>
    <w:rsid w:val="003212CB"/>
    <w:rsid w:val="00331A6E"/>
    <w:rsid w:val="0033720D"/>
    <w:rsid w:val="003832FB"/>
    <w:rsid w:val="003837BD"/>
    <w:rsid w:val="003866D8"/>
    <w:rsid w:val="003B3EC3"/>
    <w:rsid w:val="003C76CF"/>
    <w:rsid w:val="003D1F2A"/>
    <w:rsid w:val="003D4EEB"/>
    <w:rsid w:val="00401E59"/>
    <w:rsid w:val="00413078"/>
    <w:rsid w:val="004137BB"/>
    <w:rsid w:val="0042468B"/>
    <w:rsid w:val="004345F8"/>
    <w:rsid w:val="00435B5A"/>
    <w:rsid w:val="00442BAF"/>
    <w:rsid w:val="00443E72"/>
    <w:rsid w:val="00461AC1"/>
    <w:rsid w:val="00463272"/>
    <w:rsid w:val="00465E10"/>
    <w:rsid w:val="00470BE8"/>
    <w:rsid w:val="00496C58"/>
    <w:rsid w:val="004B4845"/>
    <w:rsid w:val="004D71C8"/>
    <w:rsid w:val="004F289F"/>
    <w:rsid w:val="004F31F6"/>
    <w:rsid w:val="005412B8"/>
    <w:rsid w:val="00546CE7"/>
    <w:rsid w:val="005674E8"/>
    <w:rsid w:val="005834AF"/>
    <w:rsid w:val="00586049"/>
    <w:rsid w:val="005A414A"/>
    <w:rsid w:val="005B1502"/>
    <w:rsid w:val="005C5EE7"/>
    <w:rsid w:val="005C7872"/>
    <w:rsid w:val="005D20A4"/>
    <w:rsid w:val="00605260"/>
    <w:rsid w:val="00615F9B"/>
    <w:rsid w:val="006422DC"/>
    <w:rsid w:val="006462DE"/>
    <w:rsid w:val="00647F4B"/>
    <w:rsid w:val="00693183"/>
    <w:rsid w:val="006A0793"/>
    <w:rsid w:val="006C05FB"/>
    <w:rsid w:val="006C224B"/>
    <w:rsid w:val="006C53C0"/>
    <w:rsid w:val="006D278A"/>
    <w:rsid w:val="006D60FE"/>
    <w:rsid w:val="006E428E"/>
    <w:rsid w:val="006F2DDD"/>
    <w:rsid w:val="007110A0"/>
    <w:rsid w:val="00726FDD"/>
    <w:rsid w:val="00764D3C"/>
    <w:rsid w:val="007859DE"/>
    <w:rsid w:val="007A0347"/>
    <w:rsid w:val="007B007B"/>
    <w:rsid w:val="007C57EC"/>
    <w:rsid w:val="007D5C7F"/>
    <w:rsid w:val="007D7D88"/>
    <w:rsid w:val="007F340F"/>
    <w:rsid w:val="00805ECE"/>
    <w:rsid w:val="00822EFE"/>
    <w:rsid w:val="00854B54"/>
    <w:rsid w:val="00867624"/>
    <w:rsid w:val="00871A32"/>
    <w:rsid w:val="0088252F"/>
    <w:rsid w:val="00890047"/>
    <w:rsid w:val="008A3694"/>
    <w:rsid w:val="008A5168"/>
    <w:rsid w:val="008A5393"/>
    <w:rsid w:val="008C2BC0"/>
    <w:rsid w:val="008E3BB8"/>
    <w:rsid w:val="00924EDB"/>
    <w:rsid w:val="009646F2"/>
    <w:rsid w:val="00991A5D"/>
    <w:rsid w:val="009A0241"/>
    <w:rsid w:val="009A1A15"/>
    <w:rsid w:val="009A1EE2"/>
    <w:rsid w:val="009A379D"/>
    <w:rsid w:val="009C3DAB"/>
    <w:rsid w:val="009C40FA"/>
    <w:rsid w:val="009D4F5B"/>
    <w:rsid w:val="009D5C11"/>
    <w:rsid w:val="00A01AD4"/>
    <w:rsid w:val="00A25F9B"/>
    <w:rsid w:val="00A2614C"/>
    <w:rsid w:val="00A311BE"/>
    <w:rsid w:val="00A504C7"/>
    <w:rsid w:val="00A6309D"/>
    <w:rsid w:val="00A71C40"/>
    <w:rsid w:val="00A936C7"/>
    <w:rsid w:val="00AA1B82"/>
    <w:rsid w:val="00AA2746"/>
    <w:rsid w:val="00AD5E39"/>
    <w:rsid w:val="00AE1669"/>
    <w:rsid w:val="00B211E1"/>
    <w:rsid w:val="00B24246"/>
    <w:rsid w:val="00B262F5"/>
    <w:rsid w:val="00B55EFA"/>
    <w:rsid w:val="00B765A1"/>
    <w:rsid w:val="00B87A3C"/>
    <w:rsid w:val="00BB029A"/>
    <w:rsid w:val="00BB39AB"/>
    <w:rsid w:val="00BB44D2"/>
    <w:rsid w:val="00BB6FC2"/>
    <w:rsid w:val="00BC33AD"/>
    <w:rsid w:val="00BD6674"/>
    <w:rsid w:val="00BD6BEA"/>
    <w:rsid w:val="00BD7502"/>
    <w:rsid w:val="00BE6C6D"/>
    <w:rsid w:val="00BF744A"/>
    <w:rsid w:val="00C217A4"/>
    <w:rsid w:val="00C57FB7"/>
    <w:rsid w:val="00C74CB1"/>
    <w:rsid w:val="00C81E05"/>
    <w:rsid w:val="00C92DBF"/>
    <w:rsid w:val="00CA1403"/>
    <w:rsid w:val="00CB4AB4"/>
    <w:rsid w:val="00CE27DF"/>
    <w:rsid w:val="00CF2D57"/>
    <w:rsid w:val="00D03A6A"/>
    <w:rsid w:val="00D2106D"/>
    <w:rsid w:val="00D361D1"/>
    <w:rsid w:val="00D56ADB"/>
    <w:rsid w:val="00D62DA7"/>
    <w:rsid w:val="00D752D8"/>
    <w:rsid w:val="00D90B2B"/>
    <w:rsid w:val="00D974A4"/>
    <w:rsid w:val="00DA3AAC"/>
    <w:rsid w:val="00DB02BC"/>
    <w:rsid w:val="00DD329B"/>
    <w:rsid w:val="00DD4EA4"/>
    <w:rsid w:val="00DE5B5E"/>
    <w:rsid w:val="00DF625C"/>
    <w:rsid w:val="00E23F26"/>
    <w:rsid w:val="00E335FC"/>
    <w:rsid w:val="00E34278"/>
    <w:rsid w:val="00E4336B"/>
    <w:rsid w:val="00E87A28"/>
    <w:rsid w:val="00E97FCF"/>
    <w:rsid w:val="00EA0D92"/>
    <w:rsid w:val="00F127E4"/>
    <w:rsid w:val="00F21E61"/>
    <w:rsid w:val="00F26EB4"/>
    <w:rsid w:val="00F270EB"/>
    <w:rsid w:val="00F301A1"/>
    <w:rsid w:val="00F44FE5"/>
    <w:rsid w:val="00F53A12"/>
    <w:rsid w:val="00F756B8"/>
    <w:rsid w:val="00F84537"/>
    <w:rsid w:val="00F966DF"/>
    <w:rsid w:val="00F96D1A"/>
    <w:rsid w:val="00FB3202"/>
    <w:rsid w:val="00FB3204"/>
    <w:rsid w:val="00FB4436"/>
    <w:rsid w:val="00FC641F"/>
    <w:rsid w:val="00FD2C36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3C8B"/>
  <w15:chartTrackingRefBased/>
  <w15:docId w15:val="{1EA36369-9ACD-4D73-BD9C-AFFE5F1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A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E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21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unovodstvo@gimnazija-varazd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13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176</cp:revision>
  <cp:lastPrinted>2022-01-26T12:16:00Z</cp:lastPrinted>
  <dcterms:created xsi:type="dcterms:W3CDTF">2021-01-27T08:56:00Z</dcterms:created>
  <dcterms:modified xsi:type="dcterms:W3CDTF">2022-01-27T13:19:00Z</dcterms:modified>
</cp:coreProperties>
</file>